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jc w:val="center"/>
        <w:rPr>
          <w:rFonts w:ascii="Times New Roman" w:hAnsi="Times New Roman" w:eastAsia="黑体" w:cs="Times New Roman"/>
          <w:sz w:val="84"/>
          <w:szCs w:val="84"/>
        </w:rPr>
      </w:pPr>
      <w:bookmarkStart w:id="106" w:name="_GoBack"/>
      <w:bookmarkEnd w:id="106"/>
    </w:p>
    <w:p>
      <w:pPr>
        <w:snapToGrid w:val="0"/>
        <w:spacing w:line="288" w:lineRule="auto"/>
        <w:jc w:val="center"/>
        <w:rPr>
          <w:rFonts w:ascii="Times New Roman" w:hAnsi="Times New Roman" w:eastAsia="黑体" w:cs="Times New Roman"/>
          <w:sz w:val="84"/>
          <w:szCs w:val="84"/>
        </w:rPr>
      </w:pP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jc w:val="center"/>
        <w:rPr>
          <w:rFonts w:ascii="Times New Roman" w:hAnsi="Times New Roman" w:eastAsia="仿宋_GB2312" w:cs="Times New Roman"/>
          <w:b/>
          <w:sz w:val="52"/>
          <w:szCs w:val="52"/>
        </w:rPr>
      </w:pPr>
      <w:r>
        <w:rPr>
          <w:rFonts w:ascii="Times New Roman" w:hAnsi="Times New Roman" w:eastAsia="仿宋_GB2312" w:cs="Times New Roman"/>
          <w:b/>
          <w:sz w:val="52"/>
          <w:szCs w:val="52"/>
        </w:rPr>
        <w:t>儿童化妆品技术指导原则</w:t>
      </w: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ind w:firstLine="640" w:firstLineChars="200"/>
        <w:jc w:val="center"/>
        <w:rPr>
          <w:rFonts w:ascii="Times New Roman" w:hAnsi="Times New Roman" w:eastAsia="仿宋_GB2312" w:cs="Times New Roman"/>
          <w:sz w:val="32"/>
          <w:szCs w:val="32"/>
        </w:rPr>
      </w:pPr>
    </w:p>
    <w:p>
      <w:pPr>
        <w:snapToGrid w:val="0"/>
        <w:spacing w:line="560" w:lineRule="exact"/>
        <w:ind w:firstLine="640" w:firstLineChars="200"/>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（征求意见稿）</w:t>
      </w: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ind w:firstLine="640" w:firstLineChars="200"/>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中国食品药品检定研究院</w:t>
      </w:r>
    </w:p>
    <w:p>
      <w:pPr>
        <w:snapToGrid w:val="0"/>
        <w:spacing w:line="560" w:lineRule="exact"/>
        <w:ind w:firstLine="640" w:firstLineChars="200"/>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2022年4月</w:t>
      </w:r>
    </w:p>
    <w:p>
      <w:pPr>
        <w:snapToGrid w:val="0"/>
        <w:spacing w:line="560" w:lineRule="exact"/>
        <w:ind w:firstLine="640" w:firstLineChars="200"/>
        <w:jc w:val="center"/>
        <w:rPr>
          <w:rFonts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p>
    <w:sdt>
      <w:sdtPr>
        <w:rPr>
          <w:rFonts w:ascii="Times New Roman" w:hAnsi="Times New Roman" w:eastAsia="宋体" w:cs="Times New Roman"/>
        </w:rPr>
        <w:id w:val="147463053"/>
        <w:docPartObj>
          <w:docPartGallery w:val="Table of Contents"/>
          <w:docPartUnique/>
        </w:docPartObj>
      </w:sdtPr>
      <w:sdtEndPr>
        <w:rPr>
          <w:rFonts w:ascii="Times New Roman" w:hAnsi="Times New Roman" w:eastAsia="宋体" w:cs="Times New Roman"/>
        </w:rPr>
      </w:sdtEndPr>
      <w:sdtContent>
        <w:p>
          <w:pPr>
            <w:jc w:val="center"/>
            <w:rPr>
              <w:rFonts w:ascii="Times New Roman" w:hAnsi="Times New Roman" w:eastAsia="黑体" w:cs="Times New Roman"/>
              <w:sz w:val="36"/>
              <w:szCs w:val="44"/>
            </w:rPr>
          </w:pPr>
          <w:r>
            <w:rPr>
              <w:rFonts w:ascii="Times New Roman" w:hAnsi="Times New Roman" w:eastAsia="黑体" w:cs="Times New Roman"/>
              <w:sz w:val="36"/>
              <w:szCs w:val="44"/>
            </w:rPr>
            <w:t>目  录</w:t>
          </w:r>
        </w:p>
        <w:p>
          <w:pPr>
            <w:pStyle w:val="10"/>
            <w:tabs>
              <w:tab w:val="right" w:leader="dot" w:pos="8296"/>
            </w:tabs>
            <w:rPr>
              <w:szCs w:val="22"/>
            </w:rPr>
          </w:pPr>
          <w:r>
            <w:rPr>
              <w:rFonts w:ascii="Times New Roman" w:hAnsi="Times New Roman" w:cs="Times New Roman"/>
            </w:rPr>
            <w:fldChar w:fldCharType="begin"/>
          </w:r>
          <w:r>
            <w:rPr>
              <w:rFonts w:ascii="Times New Roman" w:hAnsi="Times New Roman" w:cs="Times New Roman"/>
            </w:rPr>
            <w:instrText xml:space="preserve">TOC \o "1-3" \h \u </w:instrText>
          </w:r>
          <w:r>
            <w:rPr>
              <w:rFonts w:ascii="Times New Roman" w:hAnsi="Times New Roman" w:cs="Times New Roman"/>
            </w:rPr>
            <w:fldChar w:fldCharType="separate"/>
          </w:r>
          <w:r>
            <w:fldChar w:fldCharType="begin"/>
          </w:r>
          <w:r>
            <w:instrText xml:space="preserve"> HYPERLINK \l "_Toc100577293" </w:instrText>
          </w:r>
          <w:r>
            <w:fldChar w:fldCharType="separate"/>
          </w:r>
          <w:r>
            <w:rPr>
              <w:rStyle w:val="19"/>
              <w:rFonts w:ascii="Times New Roman" w:hAnsi="Times New Roman" w:eastAsia="仿宋" w:cs="Times New Roman"/>
              <w:b/>
              <w:bCs/>
            </w:rPr>
            <w:t xml:space="preserve">1. </w:t>
          </w:r>
          <w:r>
            <w:rPr>
              <w:rStyle w:val="19"/>
              <w:rFonts w:hint="eastAsia" w:ascii="Times New Roman" w:hAnsi="Times New Roman" w:eastAsia="仿宋" w:cs="Times New Roman"/>
              <w:b/>
              <w:bCs/>
            </w:rPr>
            <w:t>儿童化妆品基本要求</w:t>
          </w:r>
          <w:r>
            <w:tab/>
          </w:r>
          <w:r>
            <w:fldChar w:fldCharType="begin"/>
          </w:r>
          <w:r>
            <w:instrText xml:space="preserve"> PAGEREF _Toc100577293 \h </w:instrText>
          </w:r>
          <w:r>
            <w:fldChar w:fldCharType="separate"/>
          </w:r>
          <w:r>
            <w:t>5</w:t>
          </w:r>
          <w:r>
            <w:fldChar w:fldCharType="end"/>
          </w:r>
          <w:r>
            <w:fldChar w:fldCharType="end"/>
          </w:r>
        </w:p>
        <w:p>
          <w:pPr>
            <w:pStyle w:val="12"/>
            <w:tabs>
              <w:tab w:val="right" w:leader="dot" w:pos="8296"/>
            </w:tabs>
            <w:rPr>
              <w:szCs w:val="22"/>
            </w:rPr>
          </w:pPr>
          <w:r>
            <w:fldChar w:fldCharType="begin"/>
          </w:r>
          <w:r>
            <w:instrText xml:space="preserve"> HYPERLINK \l "_Toc100577294" </w:instrText>
          </w:r>
          <w:r>
            <w:fldChar w:fldCharType="separate"/>
          </w:r>
          <w:r>
            <w:rPr>
              <w:rStyle w:val="19"/>
              <w:rFonts w:ascii="Times New Roman" w:hAnsi="Times New Roman" w:eastAsia="仿宋" w:cs="Times New Roman"/>
              <w:b/>
              <w:bCs/>
            </w:rPr>
            <w:t xml:space="preserve">1.1 </w:t>
          </w:r>
          <w:r>
            <w:rPr>
              <w:rStyle w:val="19"/>
              <w:rFonts w:hint="eastAsia" w:ascii="Times New Roman" w:hAnsi="Times New Roman" w:eastAsia="仿宋" w:cs="Times New Roman"/>
              <w:b/>
              <w:bCs/>
            </w:rPr>
            <w:t>基本属性</w:t>
          </w:r>
          <w:r>
            <w:tab/>
          </w:r>
          <w:r>
            <w:fldChar w:fldCharType="begin"/>
          </w:r>
          <w:r>
            <w:instrText xml:space="preserve"> PAGEREF _Toc100577294 \h </w:instrText>
          </w:r>
          <w:r>
            <w:fldChar w:fldCharType="separate"/>
          </w:r>
          <w:r>
            <w:t>5</w:t>
          </w:r>
          <w:r>
            <w:fldChar w:fldCharType="end"/>
          </w:r>
          <w:r>
            <w:fldChar w:fldCharType="end"/>
          </w:r>
        </w:p>
        <w:p>
          <w:pPr>
            <w:pStyle w:val="12"/>
            <w:tabs>
              <w:tab w:val="right" w:leader="dot" w:pos="8296"/>
            </w:tabs>
            <w:rPr>
              <w:szCs w:val="22"/>
            </w:rPr>
          </w:pPr>
          <w:r>
            <w:fldChar w:fldCharType="begin"/>
          </w:r>
          <w:r>
            <w:instrText xml:space="preserve"> HYPERLINK \l "_Toc100577295" </w:instrText>
          </w:r>
          <w:r>
            <w:fldChar w:fldCharType="separate"/>
          </w:r>
          <w:r>
            <w:rPr>
              <w:rStyle w:val="19"/>
              <w:rFonts w:ascii="Times New Roman" w:hAnsi="Times New Roman" w:eastAsia="仿宋" w:cs="Times New Roman"/>
              <w:b/>
              <w:bCs/>
            </w:rPr>
            <w:t xml:space="preserve">1.2 </w:t>
          </w:r>
          <w:r>
            <w:rPr>
              <w:rStyle w:val="19"/>
              <w:rFonts w:hint="eastAsia" w:ascii="Times New Roman" w:hAnsi="Times New Roman" w:eastAsia="仿宋" w:cs="Times New Roman"/>
              <w:b/>
              <w:bCs/>
            </w:rPr>
            <w:t>产品分类编码以及申报类别要求</w:t>
          </w:r>
          <w:r>
            <w:tab/>
          </w:r>
          <w:r>
            <w:fldChar w:fldCharType="begin"/>
          </w:r>
          <w:r>
            <w:instrText xml:space="preserve"> PAGEREF _Toc100577295 \h </w:instrText>
          </w:r>
          <w:r>
            <w:fldChar w:fldCharType="separate"/>
          </w:r>
          <w:r>
            <w:t>5</w:t>
          </w:r>
          <w:r>
            <w:fldChar w:fldCharType="end"/>
          </w:r>
          <w:r>
            <w:fldChar w:fldCharType="end"/>
          </w:r>
        </w:p>
        <w:p>
          <w:pPr>
            <w:pStyle w:val="12"/>
            <w:tabs>
              <w:tab w:val="right" w:leader="dot" w:pos="8296"/>
            </w:tabs>
            <w:rPr>
              <w:szCs w:val="22"/>
            </w:rPr>
          </w:pPr>
          <w:r>
            <w:fldChar w:fldCharType="begin"/>
          </w:r>
          <w:r>
            <w:instrText xml:space="preserve"> HYPERLINK \l "_Toc100577296" </w:instrText>
          </w:r>
          <w:r>
            <w:fldChar w:fldCharType="separate"/>
          </w:r>
          <w:r>
            <w:rPr>
              <w:rStyle w:val="19"/>
              <w:rFonts w:ascii="Times New Roman" w:hAnsi="Times New Roman" w:eastAsia="仿宋" w:cs="Times New Roman"/>
              <w:b/>
              <w:bCs/>
            </w:rPr>
            <w:t xml:space="preserve">1.3 </w:t>
          </w:r>
          <w:r>
            <w:rPr>
              <w:rStyle w:val="19"/>
              <w:rFonts w:hint="eastAsia" w:ascii="Times New Roman" w:hAnsi="Times New Roman" w:eastAsia="仿宋" w:cs="Times New Roman"/>
              <w:b/>
              <w:bCs/>
            </w:rPr>
            <w:t>产品配方专为中国市场设计的进口儿童化妆品要求</w:t>
          </w:r>
          <w:r>
            <w:tab/>
          </w:r>
          <w:r>
            <w:fldChar w:fldCharType="begin"/>
          </w:r>
          <w:r>
            <w:instrText xml:space="preserve"> PAGEREF _Toc100577296 \h </w:instrText>
          </w:r>
          <w:r>
            <w:fldChar w:fldCharType="separate"/>
          </w:r>
          <w:r>
            <w:t>6</w:t>
          </w:r>
          <w:r>
            <w:fldChar w:fldCharType="end"/>
          </w:r>
          <w:r>
            <w:fldChar w:fldCharType="end"/>
          </w:r>
        </w:p>
        <w:p>
          <w:pPr>
            <w:pStyle w:val="10"/>
            <w:tabs>
              <w:tab w:val="right" w:leader="dot" w:pos="8296"/>
            </w:tabs>
            <w:rPr>
              <w:szCs w:val="22"/>
            </w:rPr>
          </w:pPr>
          <w:r>
            <w:fldChar w:fldCharType="begin"/>
          </w:r>
          <w:r>
            <w:instrText xml:space="preserve"> HYPERLINK \l "_Toc100577297" </w:instrText>
          </w:r>
          <w:r>
            <w:fldChar w:fldCharType="separate"/>
          </w:r>
          <w:r>
            <w:rPr>
              <w:rStyle w:val="19"/>
              <w:rFonts w:ascii="Times New Roman" w:hAnsi="Times New Roman" w:eastAsia="仿宋" w:cs="Times New Roman"/>
              <w:b/>
              <w:bCs/>
            </w:rPr>
            <w:t xml:space="preserve">2. </w:t>
          </w:r>
          <w:r>
            <w:rPr>
              <w:rStyle w:val="19"/>
              <w:rFonts w:hint="eastAsia" w:ascii="Times New Roman" w:hAnsi="Times New Roman" w:eastAsia="仿宋" w:cs="Times New Roman"/>
              <w:b/>
              <w:bCs/>
            </w:rPr>
            <w:t>儿童化妆品产品名称及相关资料要求</w:t>
          </w:r>
          <w:r>
            <w:tab/>
          </w:r>
          <w:r>
            <w:fldChar w:fldCharType="begin"/>
          </w:r>
          <w:r>
            <w:instrText xml:space="preserve"> PAGEREF _Toc100577297 \h </w:instrText>
          </w:r>
          <w:r>
            <w:fldChar w:fldCharType="separate"/>
          </w:r>
          <w:r>
            <w:t>7</w:t>
          </w:r>
          <w:r>
            <w:fldChar w:fldCharType="end"/>
          </w:r>
          <w:r>
            <w:fldChar w:fldCharType="end"/>
          </w:r>
        </w:p>
        <w:p>
          <w:pPr>
            <w:pStyle w:val="12"/>
            <w:tabs>
              <w:tab w:val="right" w:leader="dot" w:pos="8296"/>
            </w:tabs>
            <w:rPr>
              <w:szCs w:val="22"/>
            </w:rPr>
          </w:pPr>
          <w:r>
            <w:fldChar w:fldCharType="begin"/>
          </w:r>
          <w:r>
            <w:instrText xml:space="preserve"> HYPERLINK \l "_Toc100577298" </w:instrText>
          </w:r>
          <w:r>
            <w:fldChar w:fldCharType="separate"/>
          </w:r>
          <w:r>
            <w:rPr>
              <w:rStyle w:val="19"/>
              <w:rFonts w:ascii="Times New Roman" w:hAnsi="Times New Roman" w:eastAsia="仿宋" w:cs="Times New Roman"/>
              <w:b/>
              <w:bCs/>
            </w:rPr>
            <w:t xml:space="preserve">2.1 </w:t>
          </w:r>
          <w:r>
            <w:rPr>
              <w:rStyle w:val="19"/>
              <w:rFonts w:hint="eastAsia" w:ascii="Times New Roman" w:hAnsi="Times New Roman" w:eastAsia="仿宋" w:cs="Times New Roman"/>
              <w:b/>
              <w:bCs/>
            </w:rPr>
            <w:t>产品中文名称要求</w:t>
          </w:r>
          <w:r>
            <w:tab/>
          </w:r>
          <w:r>
            <w:fldChar w:fldCharType="begin"/>
          </w:r>
          <w:r>
            <w:instrText xml:space="preserve"> PAGEREF _Toc100577298 \h </w:instrText>
          </w:r>
          <w:r>
            <w:fldChar w:fldCharType="separate"/>
          </w:r>
          <w:r>
            <w:t>7</w:t>
          </w:r>
          <w:r>
            <w:fldChar w:fldCharType="end"/>
          </w:r>
          <w:r>
            <w:fldChar w:fldCharType="end"/>
          </w:r>
        </w:p>
        <w:p>
          <w:pPr>
            <w:pStyle w:val="12"/>
            <w:tabs>
              <w:tab w:val="right" w:leader="dot" w:pos="8296"/>
            </w:tabs>
            <w:rPr>
              <w:szCs w:val="22"/>
            </w:rPr>
          </w:pPr>
          <w:r>
            <w:fldChar w:fldCharType="begin"/>
          </w:r>
          <w:r>
            <w:instrText xml:space="preserve"> HYPERLINK \l "_Toc100577299" </w:instrText>
          </w:r>
          <w:r>
            <w:fldChar w:fldCharType="separate"/>
          </w:r>
          <w:r>
            <w:rPr>
              <w:rStyle w:val="19"/>
              <w:rFonts w:ascii="Times New Roman" w:hAnsi="Times New Roman" w:eastAsia="仿宋" w:cs="Times New Roman"/>
              <w:b/>
              <w:bCs/>
            </w:rPr>
            <w:t xml:space="preserve">2.2 </w:t>
          </w:r>
          <w:r>
            <w:rPr>
              <w:rStyle w:val="19"/>
              <w:rFonts w:hint="eastAsia" w:ascii="Times New Roman" w:hAnsi="Times New Roman" w:eastAsia="仿宋" w:cs="Times New Roman"/>
              <w:b/>
              <w:bCs/>
            </w:rPr>
            <w:t>命名依据要求</w:t>
          </w:r>
          <w:r>
            <w:tab/>
          </w:r>
          <w:r>
            <w:fldChar w:fldCharType="begin"/>
          </w:r>
          <w:r>
            <w:instrText xml:space="preserve"> PAGEREF _Toc100577299 \h </w:instrText>
          </w:r>
          <w:r>
            <w:fldChar w:fldCharType="separate"/>
          </w:r>
          <w:r>
            <w:t>7</w:t>
          </w:r>
          <w:r>
            <w:fldChar w:fldCharType="end"/>
          </w:r>
          <w:r>
            <w:fldChar w:fldCharType="end"/>
          </w:r>
        </w:p>
        <w:p>
          <w:pPr>
            <w:pStyle w:val="12"/>
            <w:tabs>
              <w:tab w:val="right" w:leader="dot" w:pos="8296"/>
            </w:tabs>
            <w:rPr>
              <w:szCs w:val="22"/>
            </w:rPr>
          </w:pPr>
          <w:r>
            <w:fldChar w:fldCharType="begin"/>
          </w:r>
          <w:r>
            <w:instrText xml:space="preserve"> HYPERLINK \l "_Toc100577300" </w:instrText>
          </w:r>
          <w:r>
            <w:fldChar w:fldCharType="separate"/>
          </w:r>
          <w:r>
            <w:rPr>
              <w:rStyle w:val="19"/>
              <w:rFonts w:ascii="Times New Roman" w:hAnsi="Times New Roman" w:eastAsia="仿宋" w:cs="Times New Roman"/>
              <w:b/>
              <w:bCs/>
            </w:rPr>
            <w:t xml:space="preserve">2.3 </w:t>
          </w:r>
          <w:r>
            <w:rPr>
              <w:rStyle w:val="19"/>
              <w:rFonts w:hint="eastAsia" w:ascii="Times New Roman" w:hAnsi="Times New Roman" w:eastAsia="仿宋" w:cs="Times New Roman"/>
              <w:b/>
              <w:bCs/>
            </w:rPr>
            <w:t>进口儿童化妆品要求</w:t>
          </w:r>
          <w:r>
            <w:tab/>
          </w:r>
          <w:r>
            <w:fldChar w:fldCharType="begin"/>
          </w:r>
          <w:r>
            <w:instrText xml:space="preserve"> PAGEREF _Toc100577300 \h </w:instrText>
          </w:r>
          <w:r>
            <w:fldChar w:fldCharType="separate"/>
          </w:r>
          <w:r>
            <w:t>8</w:t>
          </w:r>
          <w:r>
            <w:fldChar w:fldCharType="end"/>
          </w:r>
          <w:r>
            <w:fldChar w:fldCharType="end"/>
          </w:r>
        </w:p>
        <w:p>
          <w:pPr>
            <w:pStyle w:val="10"/>
            <w:tabs>
              <w:tab w:val="right" w:leader="dot" w:pos="8296"/>
            </w:tabs>
            <w:rPr>
              <w:szCs w:val="22"/>
            </w:rPr>
          </w:pPr>
          <w:r>
            <w:fldChar w:fldCharType="begin"/>
          </w:r>
          <w:r>
            <w:instrText xml:space="preserve"> HYPERLINK \l "_Toc100577301" </w:instrText>
          </w:r>
          <w:r>
            <w:fldChar w:fldCharType="separate"/>
          </w:r>
          <w:r>
            <w:rPr>
              <w:rStyle w:val="19"/>
              <w:rFonts w:ascii="Times New Roman" w:hAnsi="Times New Roman" w:eastAsia="仿宋" w:cs="Times New Roman"/>
              <w:b/>
              <w:bCs/>
            </w:rPr>
            <w:t xml:space="preserve">3. </w:t>
          </w:r>
          <w:r>
            <w:rPr>
              <w:rStyle w:val="19"/>
              <w:rFonts w:hint="eastAsia" w:ascii="Times New Roman" w:hAnsi="Times New Roman" w:eastAsia="仿宋" w:cs="Times New Roman"/>
              <w:b/>
              <w:bCs/>
            </w:rPr>
            <w:t>儿童化妆品产品配方及原料使用要求</w:t>
          </w:r>
          <w:r>
            <w:tab/>
          </w:r>
          <w:r>
            <w:fldChar w:fldCharType="begin"/>
          </w:r>
          <w:r>
            <w:instrText xml:space="preserve"> PAGEREF _Toc100577301 \h </w:instrText>
          </w:r>
          <w:r>
            <w:fldChar w:fldCharType="separate"/>
          </w:r>
          <w:r>
            <w:t>9</w:t>
          </w:r>
          <w:r>
            <w:fldChar w:fldCharType="end"/>
          </w:r>
          <w:r>
            <w:fldChar w:fldCharType="end"/>
          </w:r>
        </w:p>
        <w:p>
          <w:pPr>
            <w:pStyle w:val="12"/>
            <w:tabs>
              <w:tab w:val="right" w:leader="dot" w:pos="8296"/>
            </w:tabs>
            <w:rPr>
              <w:szCs w:val="22"/>
            </w:rPr>
          </w:pPr>
          <w:r>
            <w:fldChar w:fldCharType="begin"/>
          </w:r>
          <w:r>
            <w:instrText xml:space="preserve"> HYPERLINK \l "_Toc100577302" </w:instrText>
          </w:r>
          <w:r>
            <w:fldChar w:fldCharType="separate"/>
          </w:r>
          <w:r>
            <w:rPr>
              <w:rStyle w:val="19"/>
              <w:rFonts w:ascii="Times New Roman" w:hAnsi="Times New Roman" w:eastAsia="仿宋" w:cs="Times New Roman"/>
              <w:b/>
              <w:bCs/>
            </w:rPr>
            <w:t xml:space="preserve">3.1 </w:t>
          </w:r>
          <w:r>
            <w:rPr>
              <w:rStyle w:val="19"/>
              <w:rFonts w:hint="eastAsia" w:ascii="Times New Roman" w:hAnsi="Times New Roman" w:eastAsia="仿宋" w:cs="Times New Roman"/>
              <w:b/>
              <w:bCs/>
            </w:rPr>
            <w:t>配方表填报要求</w:t>
          </w:r>
          <w:r>
            <w:tab/>
          </w:r>
          <w:r>
            <w:fldChar w:fldCharType="begin"/>
          </w:r>
          <w:r>
            <w:instrText xml:space="preserve"> PAGEREF _Toc100577302 \h </w:instrText>
          </w:r>
          <w:r>
            <w:fldChar w:fldCharType="separate"/>
          </w:r>
          <w:r>
            <w:t>9</w:t>
          </w:r>
          <w:r>
            <w:fldChar w:fldCharType="end"/>
          </w:r>
          <w:r>
            <w:fldChar w:fldCharType="end"/>
          </w:r>
        </w:p>
        <w:p>
          <w:pPr>
            <w:pStyle w:val="12"/>
            <w:tabs>
              <w:tab w:val="right" w:leader="dot" w:pos="8296"/>
            </w:tabs>
            <w:rPr>
              <w:szCs w:val="22"/>
            </w:rPr>
          </w:pPr>
          <w:r>
            <w:fldChar w:fldCharType="begin"/>
          </w:r>
          <w:r>
            <w:instrText xml:space="preserve"> HYPERLINK \l "_Toc100577303" </w:instrText>
          </w:r>
          <w:r>
            <w:fldChar w:fldCharType="separate"/>
          </w:r>
          <w:r>
            <w:rPr>
              <w:rStyle w:val="19"/>
              <w:rFonts w:ascii="Times New Roman" w:hAnsi="Times New Roman" w:eastAsia="仿宋" w:cs="Times New Roman"/>
              <w:b/>
              <w:bCs/>
            </w:rPr>
            <w:t xml:space="preserve">3.2 </w:t>
          </w:r>
          <w:r>
            <w:rPr>
              <w:rStyle w:val="19"/>
              <w:rFonts w:hint="eastAsia" w:ascii="Times New Roman" w:hAnsi="Times New Roman" w:eastAsia="仿宋" w:cs="Times New Roman"/>
              <w:b/>
              <w:bCs/>
            </w:rPr>
            <w:t>儿童化妆品配方设计以及原料使用要求</w:t>
          </w:r>
          <w:r>
            <w:tab/>
          </w:r>
          <w:r>
            <w:fldChar w:fldCharType="begin"/>
          </w:r>
          <w:r>
            <w:instrText xml:space="preserve"> PAGEREF _Toc100577303 \h </w:instrText>
          </w:r>
          <w:r>
            <w:fldChar w:fldCharType="separate"/>
          </w:r>
          <w:r>
            <w:t>9</w:t>
          </w:r>
          <w:r>
            <w:fldChar w:fldCharType="end"/>
          </w:r>
          <w:r>
            <w:fldChar w:fldCharType="end"/>
          </w:r>
        </w:p>
        <w:p>
          <w:pPr>
            <w:pStyle w:val="12"/>
            <w:tabs>
              <w:tab w:val="right" w:leader="dot" w:pos="8296"/>
            </w:tabs>
            <w:rPr>
              <w:szCs w:val="22"/>
            </w:rPr>
          </w:pPr>
          <w:r>
            <w:fldChar w:fldCharType="begin"/>
          </w:r>
          <w:r>
            <w:instrText xml:space="preserve"> HYPERLINK \l "_Toc100577304" </w:instrText>
          </w:r>
          <w:r>
            <w:fldChar w:fldCharType="separate"/>
          </w:r>
          <w:r>
            <w:rPr>
              <w:rStyle w:val="19"/>
              <w:rFonts w:ascii="Times New Roman" w:hAnsi="Times New Roman" w:eastAsia="仿宋" w:cs="Times New Roman"/>
              <w:b/>
              <w:bCs/>
            </w:rPr>
            <w:t xml:space="preserve">3.3 </w:t>
          </w:r>
          <w:r>
            <w:rPr>
              <w:rStyle w:val="19"/>
              <w:rFonts w:hint="eastAsia" w:ascii="Times New Roman" w:hAnsi="Times New Roman" w:eastAsia="仿宋" w:cs="Times New Roman"/>
              <w:b/>
              <w:bCs/>
            </w:rPr>
            <w:t>防晒类儿童化妆品的原料使用要求</w:t>
          </w:r>
          <w:r>
            <w:tab/>
          </w:r>
          <w:r>
            <w:fldChar w:fldCharType="begin"/>
          </w:r>
          <w:r>
            <w:instrText xml:space="preserve"> PAGEREF _Toc100577304 \h </w:instrText>
          </w:r>
          <w:r>
            <w:fldChar w:fldCharType="separate"/>
          </w:r>
          <w:r>
            <w:t>12</w:t>
          </w:r>
          <w:r>
            <w:fldChar w:fldCharType="end"/>
          </w:r>
          <w:r>
            <w:fldChar w:fldCharType="end"/>
          </w:r>
        </w:p>
        <w:p>
          <w:pPr>
            <w:pStyle w:val="12"/>
            <w:tabs>
              <w:tab w:val="right" w:leader="dot" w:pos="8296"/>
            </w:tabs>
            <w:rPr>
              <w:szCs w:val="22"/>
            </w:rPr>
          </w:pPr>
          <w:r>
            <w:fldChar w:fldCharType="begin"/>
          </w:r>
          <w:r>
            <w:instrText xml:space="preserve"> HYPERLINK \l "_Toc100577305" </w:instrText>
          </w:r>
          <w:r>
            <w:fldChar w:fldCharType="separate"/>
          </w:r>
          <w:r>
            <w:rPr>
              <w:rStyle w:val="19"/>
              <w:rFonts w:ascii="Times New Roman" w:hAnsi="Times New Roman" w:eastAsia="仿宋" w:cs="Times New Roman"/>
              <w:b/>
              <w:bCs/>
            </w:rPr>
            <w:t xml:space="preserve">3.4 </w:t>
          </w:r>
          <w:r>
            <w:rPr>
              <w:rStyle w:val="19"/>
              <w:rFonts w:hint="eastAsia" w:ascii="Times New Roman" w:hAnsi="Times New Roman" w:eastAsia="仿宋" w:cs="Times New Roman"/>
              <w:b/>
              <w:bCs/>
            </w:rPr>
            <w:t>原料质量安全信息文件要求</w:t>
          </w:r>
          <w:r>
            <w:tab/>
          </w:r>
          <w:r>
            <w:fldChar w:fldCharType="begin"/>
          </w:r>
          <w:r>
            <w:instrText xml:space="preserve"> PAGEREF _Toc100577305 \h </w:instrText>
          </w:r>
          <w:r>
            <w:fldChar w:fldCharType="separate"/>
          </w:r>
          <w:r>
            <w:t>13</w:t>
          </w:r>
          <w:r>
            <w:fldChar w:fldCharType="end"/>
          </w:r>
          <w:r>
            <w:fldChar w:fldCharType="end"/>
          </w:r>
        </w:p>
        <w:p>
          <w:pPr>
            <w:pStyle w:val="10"/>
            <w:tabs>
              <w:tab w:val="right" w:leader="dot" w:pos="8296"/>
            </w:tabs>
            <w:rPr>
              <w:szCs w:val="22"/>
            </w:rPr>
          </w:pPr>
          <w:r>
            <w:fldChar w:fldCharType="begin"/>
          </w:r>
          <w:r>
            <w:instrText xml:space="preserve"> HYPERLINK \l "_Toc100577306" </w:instrText>
          </w:r>
          <w:r>
            <w:fldChar w:fldCharType="separate"/>
          </w:r>
          <w:r>
            <w:rPr>
              <w:rStyle w:val="19"/>
              <w:rFonts w:ascii="Times New Roman" w:hAnsi="Times New Roman" w:eastAsia="仿宋" w:cs="Times New Roman"/>
              <w:b/>
              <w:bCs/>
            </w:rPr>
            <w:t xml:space="preserve">4. </w:t>
          </w:r>
          <w:r>
            <w:rPr>
              <w:rStyle w:val="19"/>
              <w:rFonts w:hint="eastAsia" w:ascii="Times New Roman" w:hAnsi="Times New Roman" w:eastAsia="仿宋" w:cs="Times New Roman"/>
              <w:b/>
              <w:bCs/>
            </w:rPr>
            <w:t>儿童化妆品产品执行的标准要求</w:t>
          </w:r>
          <w:r>
            <w:tab/>
          </w:r>
          <w:r>
            <w:fldChar w:fldCharType="begin"/>
          </w:r>
          <w:r>
            <w:instrText xml:space="preserve"> PAGEREF _Toc100577306 \h </w:instrText>
          </w:r>
          <w:r>
            <w:fldChar w:fldCharType="separate"/>
          </w:r>
          <w:r>
            <w:t>13</w:t>
          </w:r>
          <w:r>
            <w:fldChar w:fldCharType="end"/>
          </w:r>
          <w:r>
            <w:fldChar w:fldCharType="end"/>
          </w:r>
        </w:p>
        <w:p>
          <w:pPr>
            <w:pStyle w:val="12"/>
            <w:tabs>
              <w:tab w:val="right" w:leader="dot" w:pos="8296"/>
            </w:tabs>
            <w:rPr>
              <w:szCs w:val="22"/>
            </w:rPr>
          </w:pPr>
          <w:r>
            <w:fldChar w:fldCharType="begin"/>
          </w:r>
          <w:r>
            <w:instrText xml:space="preserve"> HYPERLINK \l "_Toc100577307" </w:instrText>
          </w:r>
          <w:r>
            <w:fldChar w:fldCharType="separate"/>
          </w:r>
          <w:r>
            <w:rPr>
              <w:rStyle w:val="19"/>
              <w:rFonts w:ascii="Times New Roman" w:hAnsi="Times New Roman" w:eastAsia="仿宋" w:cs="Times New Roman"/>
              <w:b/>
              <w:bCs/>
            </w:rPr>
            <w:t xml:space="preserve">4.1 </w:t>
          </w:r>
          <w:r>
            <w:rPr>
              <w:rStyle w:val="19"/>
              <w:rFonts w:hint="eastAsia" w:ascii="Times New Roman" w:hAnsi="Times New Roman" w:eastAsia="仿宋" w:cs="Times New Roman"/>
              <w:b/>
              <w:bCs/>
            </w:rPr>
            <w:t>生产工艺简述要求</w:t>
          </w:r>
          <w:r>
            <w:tab/>
          </w:r>
          <w:r>
            <w:fldChar w:fldCharType="begin"/>
          </w:r>
          <w:r>
            <w:instrText xml:space="preserve"> PAGEREF _Toc100577307 \h </w:instrText>
          </w:r>
          <w:r>
            <w:fldChar w:fldCharType="separate"/>
          </w:r>
          <w:r>
            <w:t>13</w:t>
          </w:r>
          <w:r>
            <w:fldChar w:fldCharType="end"/>
          </w:r>
          <w:r>
            <w:fldChar w:fldCharType="end"/>
          </w:r>
        </w:p>
        <w:p>
          <w:pPr>
            <w:pStyle w:val="12"/>
            <w:tabs>
              <w:tab w:val="right" w:leader="dot" w:pos="8296"/>
            </w:tabs>
            <w:rPr>
              <w:szCs w:val="22"/>
            </w:rPr>
          </w:pPr>
          <w:r>
            <w:fldChar w:fldCharType="begin"/>
          </w:r>
          <w:r>
            <w:instrText xml:space="preserve"> HYPERLINK \l "_Toc100577308" </w:instrText>
          </w:r>
          <w:r>
            <w:fldChar w:fldCharType="separate"/>
          </w:r>
          <w:r>
            <w:rPr>
              <w:rStyle w:val="19"/>
              <w:rFonts w:ascii="Times New Roman" w:hAnsi="Times New Roman" w:eastAsia="仿宋" w:cs="Times New Roman"/>
              <w:b/>
              <w:bCs/>
            </w:rPr>
            <w:t xml:space="preserve">4.2 </w:t>
          </w:r>
          <w:r>
            <w:rPr>
              <w:rStyle w:val="19"/>
              <w:rFonts w:hint="eastAsia" w:ascii="Times New Roman" w:hAnsi="Times New Roman" w:eastAsia="仿宋" w:cs="Times New Roman"/>
              <w:b/>
              <w:bCs/>
            </w:rPr>
            <w:t>感官指标要求</w:t>
          </w:r>
          <w:r>
            <w:tab/>
          </w:r>
          <w:r>
            <w:fldChar w:fldCharType="begin"/>
          </w:r>
          <w:r>
            <w:instrText xml:space="preserve"> PAGEREF _Toc100577308 \h </w:instrText>
          </w:r>
          <w:r>
            <w:fldChar w:fldCharType="separate"/>
          </w:r>
          <w:r>
            <w:t>13</w:t>
          </w:r>
          <w:r>
            <w:fldChar w:fldCharType="end"/>
          </w:r>
          <w:r>
            <w:fldChar w:fldCharType="end"/>
          </w:r>
        </w:p>
        <w:p>
          <w:pPr>
            <w:pStyle w:val="12"/>
            <w:tabs>
              <w:tab w:val="right" w:leader="dot" w:pos="8296"/>
            </w:tabs>
            <w:rPr>
              <w:szCs w:val="22"/>
            </w:rPr>
          </w:pPr>
          <w:r>
            <w:fldChar w:fldCharType="begin"/>
          </w:r>
          <w:r>
            <w:instrText xml:space="preserve"> HYPERLINK \l "_Toc100577309" </w:instrText>
          </w:r>
          <w:r>
            <w:fldChar w:fldCharType="separate"/>
          </w:r>
          <w:r>
            <w:rPr>
              <w:rStyle w:val="19"/>
              <w:rFonts w:ascii="Times New Roman" w:hAnsi="Times New Roman" w:eastAsia="仿宋" w:cs="Times New Roman"/>
              <w:b/>
              <w:bCs/>
            </w:rPr>
            <w:t xml:space="preserve">4.3 </w:t>
          </w:r>
          <w:r>
            <w:rPr>
              <w:rStyle w:val="19"/>
              <w:rFonts w:hint="eastAsia" w:ascii="Times New Roman" w:hAnsi="Times New Roman" w:eastAsia="仿宋" w:cs="Times New Roman"/>
              <w:b/>
              <w:bCs/>
            </w:rPr>
            <w:t>微生物和理化指标及质量控制措施要求</w:t>
          </w:r>
          <w:r>
            <w:tab/>
          </w:r>
          <w:r>
            <w:fldChar w:fldCharType="begin"/>
          </w:r>
          <w:r>
            <w:instrText xml:space="preserve"> PAGEREF _Toc100577309 \h </w:instrText>
          </w:r>
          <w:r>
            <w:fldChar w:fldCharType="separate"/>
          </w:r>
          <w:r>
            <w:t>14</w:t>
          </w:r>
          <w:r>
            <w:fldChar w:fldCharType="end"/>
          </w:r>
          <w:r>
            <w:fldChar w:fldCharType="end"/>
          </w:r>
        </w:p>
        <w:p>
          <w:pPr>
            <w:pStyle w:val="12"/>
            <w:tabs>
              <w:tab w:val="right" w:leader="dot" w:pos="8296"/>
            </w:tabs>
            <w:rPr>
              <w:szCs w:val="22"/>
            </w:rPr>
          </w:pPr>
          <w:r>
            <w:fldChar w:fldCharType="begin"/>
          </w:r>
          <w:r>
            <w:instrText xml:space="preserve"> HYPERLINK \l "_Toc100577310" </w:instrText>
          </w:r>
          <w:r>
            <w:fldChar w:fldCharType="separate"/>
          </w:r>
          <w:r>
            <w:rPr>
              <w:rStyle w:val="19"/>
              <w:rFonts w:ascii="Times New Roman" w:hAnsi="Times New Roman" w:eastAsia="仿宋" w:cs="Times New Roman"/>
              <w:b/>
              <w:bCs/>
            </w:rPr>
            <w:t xml:space="preserve">4.3.1 </w:t>
          </w:r>
          <w:r>
            <w:rPr>
              <w:rStyle w:val="19"/>
              <w:rFonts w:hint="eastAsia" w:ascii="Times New Roman" w:hAnsi="Times New Roman" w:eastAsia="仿宋" w:cs="Times New Roman"/>
              <w:b/>
              <w:bCs/>
            </w:rPr>
            <w:t>微生物和理化指标</w:t>
          </w:r>
          <w:r>
            <w:tab/>
          </w:r>
          <w:r>
            <w:fldChar w:fldCharType="begin"/>
          </w:r>
          <w:r>
            <w:instrText xml:space="preserve"> PAGEREF _Toc100577310 \h </w:instrText>
          </w:r>
          <w:r>
            <w:fldChar w:fldCharType="separate"/>
          </w:r>
          <w:r>
            <w:t>14</w:t>
          </w:r>
          <w:r>
            <w:fldChar w:fldCharType="end"/>
          </w:r>
          <w:r>
            <w:fldChar w:fldCharType="end"/>
          </w:r>
        </w:p>
        <w:p>
          <w:pPr>
            <w:pStyle w:val="12"/>
            <w:tabs>
              <w:tab w:val="right" w:leader="dot" w:pos="8296"/>
            </w:tabs>
            <w:rPr>
              <w:szCs w:val="22"/>
            </w:rPr>
          </w:pPr>
          <w:r>
            <w:fldChar w:fldCharType="begin"/>
          </w:r>
          <w:r>
            <w:instrText xml:space="preserve"> HYPERLINK \l "_Toc100577311" </w:instrText>
          </w:r>
          <w:r>
            <w:fldChar w:fldCharType="separate"/>
          </w:r>
          <w:r>
            <w:rPr>
              <w:rStyle w:val="19"/>
              <w:rFonts w:ascii="Times New Roman" w:hAnsi="Times New Roman" w:eastAsia="仿宋" w:cs="Times New Roman"/>
              <w:b/>
              <w:bCs/>
            </w:rPr>
            <w:t xml:space="preserve">4.3.2 </w:t>
          </w:r>
          <w:r>
            <w:rPr>
              <w:rStyle w:val="19"/>
              <w:rFonts w:hint="eastAsia" w:ascii="Times New Roman" w:hAnsi="Times New Roman" w:eastAsia="仿宋" w:cs="Times New Roman"/>
              <w:b/>
              <w:bCs/>
            </w:rPr>
            <w:t>质量控制措施</w:t>
          </w:r>
          <w:r>
            <w:tab/>
          </w:r>
          <w:r>
            <w:fldChar w:fldCharType="begin"/>
          </w:r>
          <w:r>
            <w:instrText xml:space="preserve"> PAGEREF _Toc100577311 \h </w:instrText>
          </w:r>
          <w:r>
            <w:fldChar w:fldCharType="separate"/>
          </w:r>
          <w:r>
            <w:t>14</w:t>
          </w:r>
          <w:r>
            <w:fldChar w:fldCharType="end"/>
          </w:r>
          <w:r>
            <w:fldChar w:fldCharType="end"/>
          </w:r>
        </w:p>
        <w:p>
          <w:pPr>
            <w:pStyle w:val="12"/>
            <w:tabs>
              <w:tab w:val="right" w:leader="dot" w:pos="8296"/>
            </w:tabs>
            <w:rPr>
              <w:szCs w:val="22"/>
            </w:rPr>
          </w:pPr>
          <w:r>
            <w:fldChar w:fldCharType="begin"/>
          </w:r>
          <w:r>
            <w:instrText xml:space="preserve"> HYPERLINK \l "_Toc100577312" </w:instrText>
          </w:r>
          <w:r>
            <w:fldChar w:fldCharType="separate"/>
          </w:r>
          <w:r>
            <w:rPr>
              <w:rStyle w:val="19"/>
              <w:rFonts w:ascii="Times New Roman" w:hAnsi="Times New Roman" w:eastAsia="仿宋" w:cs="Times New Roman"/>
              <w:b/>
              <w:bCs/>
            </w:rPr>
            <w:t xml:space="preserve">4.4 </w:t>
          </w:r>
          <w:r>
            <w:rPr>
              <w:rStyle w:val="19"/>
              <w:rFonts w:hint="eastAsia" w:ascii="Times New Roman" w:hAnsi="Times New Roman" w:eastAsia="仿宋" w:cs="Times New Roman"/>
              <w:b/>
              <w:bCs/>
            </w:rPr>
            <w:t>使用方法要求</w:t>
          </w:r>
          <w:r>
            <w:tab/>
          </w:r>
          <w:r>
            <w:fldChar w:fldCharType="begin"/>
          </w:r>
          <w:r>
            <w:instrText xml:space="preserve"> PAGEREF _Toc100577312 \h </w:instrText>
          </w:r>
          <w:r>
            <w:fldChar w:fldCharType="separate"/>
          </w:r>
          <w:r>
            <w:t>15</w:t>
          </w:r>
          <w:r>
            <w:fldChar w:fldCharType="end"/>
          </w:r>
          <w:r>
            <w:fldChar w:fldCharType="end"/>
          </w:r>
        </w:p>
        <w:p>
          <w:pPr>
            <w:pStyle w:val="12"/>
            <w:tabs>
              <w:tab w:val="right" w:leader="dot" w:pos="8296"/>
            </w:tabs>
            <w:rPr>
              <w:szCs w:val="22"/>
            </w:rPr>
          </w:pPr>
          <w:r>
            <w:fldChar w:fldCharType="begin"/>
          </w:r>
          <w:r>
            <w:instrText xml:space="preserve"> HYPERLINK \l "_Toc100577313" </w:instrText>
          </w:r>
          <w:r>
            <w:fldChar w:fldCharType="separate"/>
          </w:r>
          <w:r>
            <w:rPr>
              <w:rStyle w:val="19"/>
              <w:rFonts w:ascii="Times New Roman" w:hAnsi="Times New Roman" w:eastAsia="仿宋" w:cs="Times New Roman"/>
              <w:b/>
              <w:bCs/>
            </w:rPr>
            <w:t xml:space="preserve">4.5 </w:t>
          </w:r>
          <w:r>
            <w:rPr>
              <w:rStyle w:val="19"/>
              <w:rFonts w:hint="eastAsia" w:ascii="Times New Roman" w:hAnsi="Times New Roman" w:eastAsia="仿宋" w:cs="Times New Roman"/>
              <w:b/>
              <w:bCs/>
            </w:rPr>
            <w:t>安全警示用语要求</w:t>
          </w:r>
          <w:r>
            <w:tab/>
          </w:r>
          <w:r>
            <w:fldChar w:fldCharType="begin"/>
          </w:r>
          <w:r>
            <w:instrText xml:space="preserve"> PAGEREF _Toc100577313 \h </w:instrText>
          </w:r>
          <w:r>
            <w:fldChar w:fldCharType="separate"/>
          </w:r>
          <w:r>
            <w:t>16</w:t>
          </w:r>
          <w:r>
            <w:fldChar w:fldCharType="end"/>
          </w:r>
          <w:r>
            <w:fldChar w:fldCharType="end"/>
          </w:r>
        </w:p>
        <w:p>
          <w:pPr>
            <w:pStyle w:val="12"/>
            <w:tabs>
              <w:tab w:val="right" w:leader="dot" w:pos="8296"/>
            </w:tabs>
            <w:rPr>
              <w:szCs w:val="22"/>
            </w:rPr>
          </w:pPr>
          <w:r>
            <w:fldChar w:fldCharType="begin"/>
          </w:r>
          <w:r>
            <w:instrText xml:space="preserve"> HYPERLINK \l "_Toc100577314" </w:instrText>
          </w:r>
          <w:r>
            <w:fldChar w:fldCharType="separate"/>
          </w:r>
          <w:r>
            <w:rPr>
              <w:rStyle w:val="19"/>
              <w:rFonts w:ascii="Times New Roman" w:hAnsi="Times New Roman" w:eastAsia="仿宋" w:cs="Times New Roman"/>
              <w:b/>
              <w:bCs/>
            </w:rPr>
            <w:t xml:space="preserve">4.6 </w:t>
          </w:r>
          <w:r>
            <w:rPr>
              <w:rStyle w:val="19"/>
              <w:rFonts w:hint="eastAsia" w:ascii="Times New Roman" w:hAnsi="Times New Roman" w:eastAsia="仿宋" w:cs="Times New Roman"/>
              <w:b/>
              <w:bCs/>
            </w:rPr>
            <w:t>贮存条件要求</w:t>
          </w:r>
          <w:r>
            <w:tab/>
          </w:r>
          <w:r>
            <w:fldChar w:fldCharType="begin"/>
          </w:r>
          <w:r>
            <w:instrText xml:space="preserve"> PAGEREF _Toc100577314 \h </w:instrText>
          </w:r>
          <w:r>
            <w:fldChar w:fldCharType="separate"/>
          </w:r>
          <w:r>
            <w:t>16</w:t>
          </w:r>
          <w:r>
            <w:fldChar w:fldCharType="end"/>
          </w:r>
          <w:r>
            <w:fldChar w:fldCharType="end"/>
          </w:r>
        </w:p>
        <w:p>
          <w:pPr>
            <w:pStyle w:val="12"/>
            <w:tabs>
              <w:tab w:val="right" w:leader="dot" w:pos="8296"/>
            </w:tabs>
            <w:rPr>
              <w:szCs w:val="22"/>
            </w:rPr>
          </w:pPr>
          <w:r>
            <w:fldChar w:fldCharType="begin"/>
          </w:r>
          <w:r>
            <w:instrText xml:space="preserve"> HYPERLINK \l "_Toc100577315" </w:instrText>
          </w:r>
          <w:r>
            <w:fldChar w:fldCharType="separate"/>
          </w:r>
          <w:r>
            <w:rPr>
              <w:rStyle w:val="19"/>
              <w:rFonts w:ascii="Times New Roman" w:hAnsi="Times New Roman" w:eastAsia="仿宋" w:cs="Times New Roman"/>
              <w:b/>
              <w:bCs/>
            </w:rPr>
            <w:t xml:space="preserve">4.7 </w:t>
          </w:r>
          <w:r>
            <w:rPr>
              <w:rStyle w:val="19"/>
              <w:rFonts w:hint="eastAsia" w:ascii="Times New Roman" w:hAnsi="Times New Roman" w:eastAsia="仿宋" w:cs="Times New Roman"/>
              <w:b/>
              <w:bCs/>
            </w:rPr>
            <w:t>使用期限要求</w:t>
          </w:r>
          <w:r>
            <w:tab/>
          </w:r>
          <w:r>
            <w:fldChar w:fldCharType="begin"/>
          </w:r>
          <w:r>
            <w:instrText xml:space="preserve"> PAGEREF _Toc100577315 \h </w:instrText>
          </w:r>
          <w:r>
            <w:fldChar w:fldCharType="separate"/>
          </w:r>
          <w:r>
            <w:t>17</w:t>
          </w:r>
          <w:r>
            <w:fldChar w:fldCharType="end"/>
          </w:r>
          <w:r>
            <w:fldChar w:fldCharType="end"/>
          </w:r>
        </w:p>
        <w:p>
          <w:pPr>
            <w:pStyle w:val="10"/>
            <w:tabs>
              <w:tab w:val="right" w:leader="dot" w:pos="8296"/>
            </w:tabs>
            <w:rPr>
              <w:szCs w:val="22"/>
            </w:rPr>
          </w:pPr>
          <w:r>
            <w:fldChar w:fldCharType="begin"/>
          </w:r>
          <w:r>
            <w:instrText xml:space="preserve"> HYPERLINK \l "_Toc100577316" </w:instrText>
          </w:r>
          <w:r>
            <w:fldChar w:fldCharType="separate"/>
          </w:r>
          <w:r>
            <w:rPr>
              <w:rStyle w:val="19"/>
              <w:rFonts w:ascii="Times New Roman" w:hAnsi="Times New Roman" w:eastAsia="仿宋" w:cs="Times New Roman"/>
              <w:b/>
              <w:bCs/>
            </w:rPr>
            <w:t xml:space="preserve">5. </w:t>
          </w:r>
          <w:r>
            <w:rPr>
              <w:rStyle w:val="19"/>
              <w:rFonts w:hint="eastAsia" w:ascii="Times New Roman" w:hAnsi="Times New Roman" w:eastAsia="仿宋" w:cs="Times New Roman"/>
              <w:b/>
              <w:bCs/>
            </w:rPr>
            <w:t>儿童化妆品标签要求</w:t>
          </w:r>
          <w:r>
            <w:tab/>
          </w:r>
          <w:r>
            <w:fldChar w:fldCharType="begin"/>
          </w:r>
          <w:r>
            <w:instrText xml:space="preserve"> PAGEREF _Toc100577316 \h </w:instrText>
          </w:r>
          <w:r>
            <w:fldChar w:fldCharType="separate"/>
          </w:r>
          <w:r>
            <w:t>17</w:t>
          </w:r>
          <w:r>
            <w:fldChar w:fldCharType="end"/>
          </w:r>
          <w:r>
            <w:fldChar w:fldCharType="end"/>
          </w:r>
        </w:p>
        <w:p>
          <w:pPr>
            <w:pStyle w:val="12"/>
            <w:tabs>
              <w:tab w:val="right" w:leader="dot" w:pos="8296"/>
            </w:tabs>
            <w:rPr>
              <w:szCs w:val="22"/>
            </w:rPr>
          </w:pPr>
          <w:r>
            <w:fldChar w:fldCharType="begin"/>
          </w:r>
          <w:r>
            <w:instrText xml:space="preserve"> HYPERLINK \l "_Toc100577317" </w:instrText>
          </w:r>
          <w:r>
            <w:fldChar w:fldCharType="separate"/>
          </w:r>
          <w:r>
            <w:rPr>
              <w:rStyle w:val="19"/>
              <w:rFonts w:ascii="Times New Roman" w:hAnsi="Times New Roman" w:eastAsia="仿宋" w:cs="Times New Roman"/>
              <w:b/>
              <w:bCs/>
            </w:rPr>
            <w:t xml:space="preserve">5.1 </w:t>
          </w:r>
          <w:r>
            <w:rPr>
              <w:rStyle w:val="19"/>
              <w:rFonts w:hint="eastAsia" w:ascii="Times New Roman" w:hAnsi="Times New Roman" w:eastAsia="仿宋" w:cs="Times New Roman"/>
              <w:b/>
              <w:bCs/>
            </w:rPr>
            <w:t>儿童化妆品标签标注要求</w:t>
          </w:r>
          <w:r>
            <w:tab/>
          </w:r>
          <w:r>
            <w:fldChar w:fldCharType="begin"/>
          </w:r>
          <w:r>
            <w:instrText xml:space="preserve"> PAGEREF _Toc100577317 \h </w:instrText>
          </w:r>
          <w:r>
            <w:fldChar w:fldCharType="separate"/>
          </w:r>
          <w:r>
            <w:t>17</w:t>
          </w:r>
          <w:r>
            <w:fldChar w:fldCharType="end"/>
          </w:r>
          <w:r>
            <w:fldChar w:fldCharType="end"/>
          </w:r>
        </w:p>
        <w:p>
          <w:pPr>
            <w:pStyle w:val="12"/>
            <w:tabs>
              <w:tab w:val="right" w:leader="dot" w:pos="8296"/>
            </w:tabs>
            <w:rPr>
              <w:szCs w:val="22"/>
            </w:rPr>
          </w:pPr>
          <w:r>
            <w:fldChar w:fldCharType="begin"/>
          </w:r>
          <w:r>
            <w:instrText xml:space="preserve"> HYPERLINK \l "_Toc100577318" </w:instrText>
          </w:r>
          <w:r>
            <w:fldChar w:fldCharType="separate"/>
          </w:r>
          <w:r>
            <w:rPr>
              <w:rStyle w:val="19"/>
              <w:rFonts w:ascii="Times New Roman" w:hAnsi="Times New Roman" w:eastAsia="仿宋" w:cs="Times New Roman"/>
              <w:b/>
              <w:bCs/>
            </w:rPr>
            <w:t xml:space="preserve">5.2 </w:t>
          </w:r>
          <w:r>
            <w:rPr>
              <w:rStyle w:val="19"/>
              <w:rFonts w:hint="eastAsia" w:ascii="Times New Roman" w:hAnsi="Times New Roman" w:eastAsia="仿宋" w:cs="Times New Roman"/>
              <w:b/>
              <w:bCs/>
            </w:rPr>
            <w:t>标签宣称要求</w:t>
          </w:r>
          <w:r>
            <w:tab/>
          </w:r>
          <w:r>
            <w:fldChar w:fldCharType="begin"/>
          </w:r>
          <w:r>
            <w:instrText xml:space="preserve"> PAGEREF _Toc100577318 \h </w:instrText>
          </w:r>
          <w:r>
            <w:fldChar w:fldCharType="separate"/>
          </w:r>
          <w:r>
            <w:t>18</w:t>
          </w:r>
          <w:r>
            <w:fldChar w:fldCharType="end"/>
          </w:r>
          <w:r>
            <w:fldChar w:fldCharType="end"/>
          </w:r>
        </w:p>
        <w:p>
          <w:pPr>
            <w:pStyle w:val="12"/>
            <w:tabs>
              <w:tab w:val="right" w:leader="dot" w:pos="8296"/>
            </w:tabs>
            <w:rPr>
              <w:szCs w:val="22"/>
            </w:rPr>
          </w:pPr>
          <w:r>
            <w:fldChar w:fldCharType="begin"/>
          </w:r>
          <w:r>
            <w:instrText xml:space="preserve"> HYPERLINK \l "_Toc100577319" </w:instrText>
          </w:r>
          <w:r>
            <w:fldChar w:fldCharType="separate"/>
          </w:r>
          <w:r>
            <w:rPr>
              <w:rStyle w:val="19"/>
              <w:rFonts w:ascii="Times New Roman" w:hAnsi="Times New Roman" w:eastAsia="仿宋" w:cs="Times New Roman"/>
              <w:b/>
              <w:bCs/>
            </w:rPr>
            <w:t>5.3</w:t>
          </w:r>
          <w:r>
            <w:rPr>
              <w:rStyle w:val="19"/>
              <w:rFonts w:hint="eastAsia" w:ascii="Times New Roman" w:hAnsi="Times New Roman" w:eastAsia="仿宋" w:cs="Times New Roman"/>
              <w:b/>
              <w:bCs/>
            </w:rPr>
            <w:t>儿童防晒类化妆品宣称要求</w:t>
          </w:r>
          <w:r>
            <w:tab/>
          </w:r>
          <w:r>
            <w:fldChar w:fldCharType="begin"/>
          </w:r>
          <w:r>
            <w:instrText xml:space="preserve"> PAGEREF _Toc100577319 \h </w:instrText>
          </w:r>
          <w:r>
            <w:fldChar w:fldCharType="separate"/>
          </w:r>
          <w:r>
            <w:t>19</w:t>
          </w:r>
          <w:r>
            <w:fldChar w:fldCharType="end"/>
          </w:r>
          <w:r>
            <w:fldChar w:fldCharType="end"/>
          </w:r>
        </w:p>
        <w:p>
          <w:pPr>
            <w:pStyle w:val="12"/>
            <w:tabs>
              <w:tab w:val="right" w:leader="dot" w:pos="8296"/>
            </w:tabs>
            <w:rPr>
              <w:szCs w:val="22"/>
            </w:rPr>
          </w:pPr>
          <w:r>
            <w:fldChar w:fldCharType="begin"/>
          </w:r>
          <w:r>
            <w:instrText xml:space="preserve"> HYPERLINK \l "_Toc100577320" </w:instrText>
          </w:r>
          <w:r>
            <w:fldChar w:fldCharType="separate"/>
          </w:r>
          <w:r>
            <w:rPr>
              <w:rStyle w:val="19"/>
              <w:rFonts w:ascii="Times New Roman" w:hAnsi="Times New Roman" w:eastAsia="仿宋" w:cs="Times New Roman"/>
              <w:b/>
              <w:bCs/>
            </w:rPr>
            <w:t xml:space="preserve">5.4 </w:t>
          </w:r>
          <w:r>
            <w:rPr>
              <w:rStyle w:val="19"/>
              <w:rFonts w:hint="eastAsia" w:ascii="Times New Roman" w:hAnsi="Times New Roman" w:eastAsia="仿宋" w:cs="Times New Roman"/>
              <w:b/>
              <w:bCs/>
            </w:rPr>
            <w:t>进口儿童化妆品标签要求</w:t>
          </w:r>
          <w:r>
            <w:tab/>
          </w:r>
          <w:r>
            <w:fldChar w:fldCharType="begin"/>
          </w:r>
          <w:r>
            <w:instrText xml:space="preserve"> PAGEREF _Toc100577320 \h </w:instrText>
          </w:r>
          <w:r>
            <w:fldChar w:fldCharType="separate"/>
          </w:r>
          <w:r>
            <w:t>19</w:t>
          </w:r>
          <w:r>
            <w:fldChar w:fldCharType="end"/>
          </w:r>
          <w:r>
            <w:fldChar w:fldCharType="end"/>
          </w:r>
        </w:p>
        <w:p>
          <w:pPr>
            <w:pStyle w:val="10"/>
            <w:tabs>
              <w:tab w:val="right" w:leader="dot" w:pos="8296"/>
            </w:tabs>
            <w:rPr>
              <w:szCs w:val="22"/>
            </w:rPr>
          </w:pPr>
          <w:r>
            <w:fldChar w:fldCharType="begin"/>
          </w:r>
          <w:r>
            <w:instrText xml:space="preserve"> HYPERLINK \l "_Toc100577321" </w:instrText>
          </w:r>
          <w:r>
            <w:fldChar w:fldCharType="separate"/>
          </w:r>
          <w:r>
            <w:rPr>
              <w:rStyle w:val="19"/>
              <w:rFonts w:ascii="Times New Roman" w:hAnsi="Times New Roman" w:eastAsia="仿宋" w:cs="Times New Roman"/>
              <w:b/>
              <w:bCs/>
            </w:rPr>
            <w:t xml:space="preserve">6. </w:t>
          </w:r>
          <w:r>
            <w:rPr>
              <w:rStyle w:val="19"/>
              <w:rFonts w:hint="eastAsia" w:ascii="Times New Roman" w:hAnsi="Times New Roman" w:eastAsia="仿宋" w:cs="Times New Roman"/>
              <w:b/>
              <w:bCs/>
            </w:rPr>
            <w:t>儿童化妆品产品检验报告要求</w:t>
          </w:r>
          <w:r>
            <w:tab/>
          </w:r>
          <w:r>
            <w:fldChar w:fldCharType="begin"/>
          </w:r>
          <w:r>
            <w:instrText xml:space="preserve"> PAGEREF _Toc100577321 \h </w:instrText>
          </w:r>
          <w:r>
            <w:fldChar w:fldCharType="separate"/>
          </w:r>
          <w:r>
            <w:t>20</w:t>
          </w:r>
          <w:r>
            <w:fldChar w:fldCharType="end"/>
          </w:r>
          <w:r>
            <w:fldChar w:fldCharType="end"/>
          </w:r>
        </w:p>
        <w:p>
          <w:pPr>
            <w:pStyle w:val="12"/>
            <w:tabs>
              <w:tab w:val="right" w:leader="dot" w:pos="8296"/>
            </w:tabs>
            <w:rPr>
              <w:szCs w:val="22"/>
            </w:rPr>
          </w:pPr>
          <w:r>
            <w:fldChar w:fldCharType="begin"/>
          </w:r>
          <w:r>
            <w:instrText xml:space="preserve"> HYPERLINK \l "_Toc100577322" </w:instrText>
          </w:r>
          <w:r>
            <w:fldChar w:fldCharType="separate"/>
          </w:r>
          <w:r>
            <w:rPr>
              <w:rStyle w:val="19"/>
              <w:rFonts w:ascii="Times New Roman" w:hAnsi="Times New Roman" w:eastAsia="仿宋" w:cs="Times New Roman"/>
              <w:b/>
              <w:bCs/>
            </w:rPr>
            <w:t xml:space="preserve">6.1 </w:t>
          </w:r>
          <w:r>
            <w:rPr>
              <w:rStyle w:val="19"/>
              <w:rFonts w:hint="eastAsia" w:ascii="Times New Roman" w:hAnsi="Times New Roman" w:eastAsia="仿宋" w:cs="Times New Roman"/>
              <w:b/>
              <w:bCs/>
            </w:rPr>
            <w:t>微生物与理化检验报告要求</w:t>
          </w:r>
          <w:r>
            <w:tab/>
          </w:r>
          <w:r>
            <w:fldChar w:fldCharType="begin"/>
          </w:r>
          <w:r>
            <w:instrText xml:space="preserve"> PAGEREF _Toc100577322 \h </w:instrText>
          </w:r>
          <w:r>
            <w:fldChar w:fldCharType="separate"/>
          </w:r>
          <w:r>
            <w:t>20</w:t>
          </w:r>
          <w:r>
            <w:fldChar w:fldCharType="end"/>
          </w:r>
          <w:r>
            <w:fldChar w:fldCharType="end"/>
          </w:r>
        </w:p>
        <w:p>
          <w:pPr>
            <w:pStyle w:val="12"/>
            <w:tabs>
              <w:tab w:val="right" w:leader="dot" w:pos="8296"/>
            </w:tabs>
            <w:rPr>
              <w:szCs w:val="22"/>
            </w:rPr>
          </w:pPr>
          <w:r>
            <w:fldChar w:fldCharType="begin"/>
          </w:r>
          <w:r>
            <w:instrText xml:space="preserve"> HYPERLINK \l "_Toc100577323" </w:instrText>
          </w:r>
          <w:r>
            <w:fldChar w:fldCharType="separate"/>
          </w:r>
          <w:r>
            <w:rPr>
              <w:rStyle w:val="19"/>
              <w:rFonts w:ascii="Times New Roman" w:hAnsi="Times New Roman" w:eastAsia="仿宋" w:cs="Times New Roman"/>
              <w:b/>
              <w:bCs/>
            </w:rPr>
            <w:t xml:space="preserve">6.2 </w:t>
          </w:r>
          <w:r>
            <w:rPr>
              <w:rStyle w:val="19"/>
              <w:rFonts w:hint="eastAsia" w:ascii="Times New Roman" w:hAnsi="Times New Roman" w:eastAsia="仿宋" w:cs="Times New Roman"/>
              <w:b/>
              <w:bCs/>
            </w:rPr>
            <w:t>毒理学试验报告要求</w:t>
          </w:r>
          <w:r>
            <w:tab/>
          </w:r>
          <w:r>
            <w:fldChar w:fldCharType="begin"/>
          </w:r>
          <w:r>
            <w:instrText xml:space="preserve"> PAGEREF _Toc100577323 \h </w:instrText>
          </w:r>
          <w:r>
            <w:fldChar w:fldCharType="separate"/>
          </w:r>
          <w:r>
            <w:t>20</w:t>
          </w:r>
          <w:r>
            <w:fldChar w:fldCharType="end"/>
          </w:r>
          <w:r>
            <w:fldChar w:fldCharType="end"/>
          </w:r>
        </w:p>
        <w:p>
          <w:pPr>
            <w:pStyle w:val="12"/>
            <w:tabs>
              <w:tab w:val="right" w:leader="dot" w:pos="8296"/>
            </w:tabs>
            <w:rPr>
              <w:szCs w:val="22"/>
            </w:rPr>
          </w:pPr>
          <w:r>
            <w:fldChar w:fldCharType="begin"/>
          </w:r>
          <w:r>
            <w:instrText xml:space="preserve"> HYPERLINK \l "_Toc100577324" </w:instrText>
          </w:r>
          <w:r>
            <w:fldChar w:fldCharType="separate"/>
          </w:r>
          <w:r>
            <w:rPr>
              <w:rStyle w:val="19"/>
              <w:rFonts w:ascii="Times New Roman" w:hAnsi="Times New Roman" w:eastAsia="仿宋" w:cs="Times New Roman"/>
              <w:b/>
              <w:bCs/>
            </w:rPr>
            <w:t xml:space="preserve">6.3 </w:t>
          </w:r>
          <w:r>
            <w:rPr>
              <w:rStyle w:val="19"/>
              <w:rFonts w:hint="eastAsia" w:ascii="Times New Roman" w:hAnsi="Times New Roman" w:eastAsia="仿宋" w:cs="Times New Roman"/>
              <w:b/>
              <w:bCs/>
            </w:rPr>
            <w:t>人体安全性试验报告要求</w:t>
          </w:r>
          <w:r>
            <w:tab/>
          </w:r>
          <w:r>
            <w:fldChar w:fldCharType="begin"/>
          </w:r>
          <w:r>
            <w:instrText xml:space="preserve"> PAGEREF _Toc100577324 \h </w:instrText>
          </w:r>
          <w:r>
            <w:fldChar w:fldCharType="separate"/>
          </w:r>
          <w:r>
            <w:t>21</w:t>
          </w:r>
          <w:r>
            <w:fldChar w:fldCharType="end"/>
          </w:r>
          <w:r>
            <w:fldChar w:fldCharType="end"/>
          </w:r>
        </w:p>
        <w:p>
          <w:pPr>
            <w:pStyle w:val="12"/>
            <w:tabs>
              <w:tab w:val="right" w:leader="dot" w:pos="8296"/>
            </w:tabs>
            <w:rPr>
              <w:szCs w:val="22"/>
            </w:rPr>
          </w:pPr>
          <w:r>
            <w:fldChar w:fldCharType="begin"/>
          </w:r>
          <w:r>
            <w:instrText xml:space="preserve"> HYPERLINK \l "_Toc100577325" </w:instrText>
          </w:r>
          <w:r>
            <w:fldChar w:fldCharType="separate"/>
          </w:r>
          <w:r>
            <w:rPr>
              <w:rStyle w:val="19"/>
              <w:rFonts w:ascii="Times New Roman" w:hAnsi="Times New Roman" w:eastAsia="仿宋" w:cs="Times New Roman"/>
              <w:b/>
              <w:bCs/>
            </w:rPr>
            <w:t xml:space="preserve">6.4 </w:t>
          </w:r>
          <w:r>
            <w:rPr>
              <w:rStyle w:val="19"/>
              <w:rFonts w:hint="eastAsia" w:ascii="Times New Roman" w:hAnsi="Times New Roman" w:eastAsia="仿宋" w:cs="Times New Roman"/>
              <w:b/>
              <w:bCs/>
            </w:rPr>
            <w:t>人体功效试验报告要求</w:t>
          </w:r>
          <w:r>
            <w:tab/>
          </w:r>
          <w:r>
            <w:fldChar w:fldCharType="begin"/>
          </w:r>
          <w:r>
            <w:instrText xml:space="preserve"> PAGEREF _Toc100577325 \h </w:instrText>
          </w:r>
          <w:r>
            <w:fldChar w:fldCharType="separate"/>
          </w:r>
          <w:r>
            <w:t>21</w:t>
          </w:r>
          <w:r>
            <w:fldChar w:fldCharType="end"/>
          </w:r>
          <w:r>
            <w:fldChar w:fldCharType="end"/>
          </w:r>
        </w:p>
        <w:p>
          <w:pPr>
            <w:pStyle w:val="10"/>
            <w:tabs>
              <w:tab w:val="right" w:leader="dot" w:pos="8296"/>
            </w:tabs>
            <w:rPr>
              <w:szCs w:val="22"/>
            </w:rPr>
          </w:pPr>
          <w:r>
            <w:fldChar w:fldCharType="begin"/>
          </w:r>
          <w:r>
            <w:instrText xml:space="preserve"> HYPERLINK \l "_Toc100577326" </w:instrText>
          </w:r>
          <w:r>
            <w:fldChar w:fldCharType="separate"/>
          </w:r>
          <w:r>
            <w:rPr>
              <w:rStyle w:val="19"/>
              <w:rFonts w:ascii="Times New Roman" w:hAnsi="Times New Roman" w:eastAsia="仿宋" w:cs="Times New Roman"/>
              <w:b/>
              <w:bCs/>
            </w:rPr>
            <w:t xml:space="preserve">7. </w:t>
          </w:r>
          <w:r>
            <w:rPr>
              <w:rStyle w:val="19"/>
              <w:rFonts w:hint="eastAsia" w:ascii="Times New Roman" w:hAnsi="Times New Roman" w:eastAsia="仿宋" w:cs="Times New Roman"/>
              <w:b/>
              <w:bCs/>
            </w:rPr>
            <w:t>儿童化妆品安全评估报告要求</w:t>
          </w:r>
          <w:r>
            <w:tab/>
          </w:r>
          <w:r>
            <w:fldChar w:fldCharType="begin"/>
          </w:r>
          <w:r>
            <w:instrText xml:space="preserve"> PAGEREF _Toc100577326 \h </w:instrText>
          </w:r>
          <w:r>
            <w:fldChar w:fldCharType="separate"/>
          </w:r>
          <w:r>
            <w:t>21</w:t>
          </w:r>
          <w:r>
            <w:fldChar w:fldCharType="end"/>
          </w:r>
          <w:r>
            <w:fldChar w:fldCharType="end"/>
          </w:r>
        </w:p>
        <w:p>
          <w:pPr>
            <w:pStyle w:val="12"/>
            <w:tabs>
              <w:tab w:val="right" w:leader="dot" w:pos="8296"/>
            </w:tabs>
            <w:rPr>
              <w:szCs w:val="22"/>
            </w:rPr>
          </w:pPr>
          <w:r>
            <w:fldChar w:fldCharType="begin"/>
          </w:r>
          <w:r>
            <w:instrText xml:space="preserve"> HYPERLINK \l "_Toc100577327" </w:instrText>
          </w:r>
          <w:r>
            <w:fldChar w:fldCharType="separate"/>
          </w:r>
          <w:r>
            <w:rPr>
              <w:rStyle w:val="19"/>
              <w:rFonts w:ascii="Times New Roman" w:hAnsi="Times New Roman" w:eastAsia="仿宋" w:cs="Times New Roman"/>
              <w:b/>
              <w:bCs/>
            </w:rPr>
            <w:t xml:space="preserve">7.1 </w:t>
          </w:r>
          <w:r>
            <w:rPr>
              <w:rStyle w:val="19"/>
              <w:rFonts w:hint="eastAsia" w:ascii="Times New Roman" w:hAnsi="Times New Roman" w:eastAsia="仿宋" w:cs="Times New Roman"/>
              <w:b/>
              <w:bCs/>
            </w:rPr>
            <w:t>儿童化妆品安全评估总体要求</w:t>
          </w:r>
          <w:r>
            <w:tab/>
          </w:r>
          <w:r>
            <w:fldChar w:fldCharType="begin"/>
          </w:r>
          <w:r>
            <w:instrText xml:space="preserve"> PAGEREF _Toc100577327 \h </w:instrText>
          </w:r>
          <w:r>
            <w:fldChar w:fldCharType="separate"/>
          </w:r>
          <w:r>
            <w:t>21</w:t>
          </w:r>
          <w:r>
            <w:fldChar w:fldCharType="end"/>
          </w:r>
          <w:r>
            <w:fldChar w:fldCharType="end"/>
          </w:r>
        </w:p>
        <w:p>
          <w:pPr>
            <w:pStyle w:val="12"/>
            <w:tabs>
              <w:tab w:val="right" w:leader="dot" w:pos="8296"/>
            </w:tabs>
            <w:rPr>
              <w:szCs w:val="22"/>
            </w:rPr>
          </w:pPr>
          <w:r>
            <w:fldChar w:fldCharType="begin"/>
          </w:r>
          <w:r>
            <w:instrText xml:space="preserve"> HYPERLINK \l "_Toc100577328" </w:instrText>
          </w:r>
          <w:r>
            <w:fldChar w:fldCharType="separate"/>
          </w:r>
          <w:r>
            <w:rPr>
              <w:rStyle w:val="19"/>
              <w:rFonts w:ascii="Times New Roman" w:hAnsi="Times New Roman" w:eastAsia="仿宋" w:cs="Times New Roman"/>
              <w:b/>
              <w:bCs/>
            </w:rPr>
            <w:t xml:space="preserve">7.2 </w:t>
          </w:r>
          <w:r>
            <w:rPr>
              <w:rStyle w:val="19"/>
              <w:rFonts w:hint="eastAsia" w:ascii="Times New Roman" w:hAnsi="Times New Roman" w:eastAsia="仿宋" w:cs="Times New Roman"/>
              <w:b/>
              <w:bCs/>
            </w:rPr>
            <w:t>化妆品安全评估报告（简化版）要求</w:t>
          </w:r>
          <w:r>
            <w:tab/>
          </w:r>
          <w:r>
            <w:fldChar w:fldCharType="begin"/>
          </w:r>
          <w:r>
            <w:instrText xml:space="preserve"> PAGEREF _Toc100577328 \h </w:instrText>
          </w:r>
          <w:r>
            <w:fldChar w:fldCharType="separate"/>
          </w:r>
          <w:r>
            <w:t>22</w:t>
          </w:r>
          <w:r>
            <w:fldChar w:fldCharType="end"/>
          </w:r>
          <w:r>
            <w:fldChar w:fldCharType="end"/>
          </w:r>
        </w:p>
        <w:p>
          <w:pPr>
            <w:pStyle w:val="12"/>
            <w:tabs>
              <w:tab w:val="right" w:leader="dot" w:pos="8296"/>
            </w:tabs>
            <w:rPr>
              <w:szCs w:val="22"/>
            </w:rPr>
          </w:pPr>
          <w:r>
            <w:fldChar w:fldCharType="begin"/>
          </w:r>
          <w:r>
            <w:instrText xml:space="preserve"> HYPERLINK \l "_Toc100577329" </w:instrText>
          </w:r>
          <w:r>
            <w:fldChar w:fldCharType="separate"/>
          </w:r>
          <w:r>
            <w:rPr>
              <w:rStyle w:val="19"/>
              <w:rFonts w:ascii="Times New Roman" w:hAnsi="Times New Roman" w:eastAsia="仿宋" w:cs="Times New Roman"/>
              <w:b/>
              <w:bCs/>
            </w:rPr>
            <w:t xml:space="preserve">7.2.1 </w:t>
          </w:r>
          <w:r>
            <w:rPr>
              <w:rStyle w:val="19"/>
              <w:rFonts w:hint="eastAsia" w:ascii="Times New Roman" w:hAnsi="Times New Roman" w:eastAsia="仿宋" w:cs="Times New Roman"/>
              <w:b/>
              <w:bCs/>
            </w:rPr>
            <w:t>原料安全评估可采用的证据</w:t>
          </w:r>
          <w:r>
            <w:tab/>
          </w:r>
          <w:r>
            <w:fldChar w:fldCharType="begin"/>
          </w:r>
          <w:r>
            <w:instrText xml:space="preserve"> PAGEREF _Toc100577329 \h </w:instrText>
          </w:r>
          <w:r>
            <w:fldChar w:fldCharType="separate"/>
          </w:r>
          <w:r>
            <w:t>22</w:t>
          </w:r>
          <w:r>
            <w:fldChar w:fldCharType="end"/>
          </w:r>
          <w:r>
            <w:fldChar w:fldCharType="end"/>
          </w:r>
        </w:p>
        <w:p>
          <w:pPr>
            <w:pStyle w:val="12"/>
            <w:tabs>
              <w:tab w:val="right" w:leader="dot" w:pos="8296"/>
            </w:tabs>
            <w:rPr>
              <w:szCs w:val="22"/>
            </w:rPr>
          </w:pPr>
          <w:r>
            <w:fldChar w:fldCharType="begin"/>
          </w:r>
          <w:r>
            <w:instrText xml:space="preserve"> HYPERLINK \l "_Toc100577330" </w:instrText>
          </w:r>
          <w:r>
            <w:fldChar w:fldCharType="separate"/>
          </w:r>
          <w:r>
            <w:rPr>
              <w:rStyle w:val="19"/>
              <w:rFonts w:ascii="Times New Roman" w:hAnsi="Times New Roman" w:eastAsia="仿宋" w:cs="Times New Roman"/>
              <w:b/>
              <w:bCs/>
            </w:rPr>
            <w:t xml:space="preserve">7.2.2 </w:t>
          </w:r>
          <w:r>
            <w:rPr>
              <w:rStyle w:val="19"/>
              <w:rFonts w:hint="eastAsia" w:ascii="Times New Roman" w:hAnsi="Times New Roman" w:eastAsia="仿宋" w:cs="Times New Roman"/>
              <w:b/>
              <w:bCs/>
            </w:rPr>
            <w:t>配方设计原则</w:t>
          </w:r>
          <w:r>
            <w:tab/>
          </w:r>
          <w:r>
            <w:fldChar w:fldCharType="begin"/>
          </w:r>
          <w:r>
            <w:instrText xml:space="preserve"> PAGEREF _Toc100577330 \h </w:instrText>
          </w:r>
          <w:r>
            <w:fldChar w:fldCharType="separate"/>
          </w:r>
          <w:r>
            <w:t>23</w:t>
          </w:r>
          <w:r>
            <w:fldChar w:fldCharType="end"/>
          </w:r>
          <w:r>
            <w:fldChar w:fldCharType="end"/>
          </w:r>
        </w:p>
        <w:p>
          <w:pPr>
            <w:pStyle w:val="12"/>
            <w:tabs>
              <w:tab w:val="right" w:leader="dot" w:pos="8296"/>
            </w:tabs>
            <w:rPr>
              <w:szCs w:val="22"/>
            </w:rPr>
          </w:pPr>
          <w:r>
            <w:fldChar w:fldCharType="begin"/>
          </w:r>
          <w:r>
            <w:instrText xml:space="preserve"> HYPERLINK \l "_Toc100577331" </w:instrText>
          </w:r>
          <w:r>
            <w:fldChar w:fldCharType="separate"/>
          </w:r>
          <w:r>
            <w:rPr>
              <w:rStyle w:val="19"/>
              <w:rFonts w:ascii="Times New Roman" w:hAnsi="Times New Roman" w:eastAsia="仿宋" w:cs="Times New Roman"/>
              <w:b/>
              <w:bCs/>
            </w:rPr>
            <w:t xml:space="preserve">7.2.3 </w:t>
          </w:r>
          <w:r>
            <w:rPr>
              <w:rStyle w:val="19"/>
              <w:rFonts w:hint="eastAsia" w:ascii="Times New Roman" w:hAnsi="Times New Roman" w:eastAsia="仿宋" w:cs="Times New Roman"/>
              <w:b/>
              <w:bCs/>
            </w:rPr>
            <w:t>香精的评估</w:t>
          </w:r>
          <w:r>
            <w:tab/>
          </w:r>
          <w:r>
            <w:fldChar w:fldCharType="begin"/>
          </w:r>
          <w:r>
            <w:instrText xml:space="preserve"> PAGEREF _Toc100577331 \h </w:instrText>
          </w:r>
          <w:r>
            <w:fldChar w:fldCharType="separate"/>
          </w:r>
          <w:r>
            <w:t>24</w:t>
          </w:r>
          <w:r>
            <w:fldChar w:fldCharType="end"/>
          </w:r>
          <w:r>
            <w:fldChar w:fldCharType="end"/>
          </w:r>
        </w:p>
        <w:p>
          <w:pPr>
            <w:pStyle w:val="12"/>
            <w:tabs>
              <w:tab w:val="right" w:leader="dot" w:pos="8296"/>
            </w:tabs>
            <w:rPr>
              <w:szCs w:val="22"/>
            </w:rPr>
          </w:pPr>
          <w:r>
            <w:fldChar w:fldCharType="begin"/>
          </w:r>
          <w:r>
            <w:instrText xml:space="preserve"> HYPERLINK \l "_Toc100577332" </w:instrText>
          </w:r>
          <w:r>
            <w:fldChar w:fldCharType="separate"/>
          </w:r>
          <w:r>
            <w:rPr>
              <w:rStyle w:val="19"/>
              <w:rFonts w:ascii="Times New Roman" w:hAnsi="Times New Roman" w:eastAsia="仿宋" w:cs="Times New Roman"/>
              <w:b/>
              <w:bCs/>
            </w:rPr>
            <w:t xml:space="preserve">7.2.4 </w:t>
          </w:r>
          <w:r>
            <w:rPr>
              <w:rStyle w:val="19"/>
              <w:rFonts w:hint="eastAsia" w:ascii="Times New Roman" w:hAnsi="Times New Roman" w:eastAsia="仿宋" w:cs="Times New Roman"/>
              <w:b/>
              <w:bCs/>
            </w:rPr>
            <w:t>风险物质的评估</w:t>
          </w:r>
          <w:r>
            <w:tab/>
          </w:r>
          <w:r>
            <w:fldChar w:fldCharType="begin"/>
          </w:r>
          <w:r>
            <w:instrText xml:space="preserve"> PAGEREF _Toc100577332 \h </w:instrText>
          </w:r>
          <w:r>
            <w:fldChar w:fldCharType="separate"/>
          </w:r>
          <w:r>
            <w:t>24</w:t>
          </w:r>
          <w:r>
            <w:fldChar w:fldCharType="end"/>
          </w:r>
          <w:r>
            <w:fldChar w:fldCharType="end"/>
          </w:r>
        </w:p>
        <w:p>
          <w:pPr>
            <w:pStyle w:val="12"/>
            <w:tabs>
              <w:tab w:val="right" w:leader="dot" w:pos="8296"/>
            </w:tabs>
            <w:rPr>
              <w:szCs w:val="22"/>
            </w:rPr>
          </w:pPr>
          <w:r>
            <w:fldChar w:fldCharType="begin"/>
          </w:r>
          <w:r>
            <w:instrText xml:space="preserve"> HYPERLINK \l "_Toc100577333" </w:instrText>
          </w:r>
          <w:r>
            <w:fldChar w:fldCharType="separate"/>
          </w:r>
          <w:r>
            <w:rPr>
              <w:rStyle w:val="19"/>
              <w:rFonts w:ascii="Times New Roman" w:hAnsi="Times New Roman" w:eastAsia="仿宋" w:cs="Times New Roman"/>
              <w:b/>
              <w:bCs/>
            </w:rPr>
            <w:t xml:space="preserve">7.2.5 </w:t>
          </w:r>
          <w:r>
            <w:rPr>
              <w:rStyle w:val="19"/>
              <w:rFonts w:hint="eastAsia" w:ascii="Times New Roman" w:hAnsi="Times New Roman" w:eastAsia="仿宋" w:cs="Times New Roman"/>
              <w:b/>
              <w:bCs/>
            </w:rPr>
            <w:t>含推进剂的喷雾产品的评估</w:t>
          </w:r>
          <w:r>
            <w:tab/>
          </w:r>
          <w:r>
            <w:fldChar w:fldCharType="begin"/>
          </w:r>
          <w:r>
            <w:instrText xml:space="preserve"> PAGEREF _Toc100577333 \h </w:instrText>
          </w:r>
          <w:r>
            <w:fldChar w:fldCharType="separate"/>
          </w:r>
          <w:r>
            <w:t>24</w:t>
          </w:r>
          <w:r>
            <w:fldChar w:fldCharType="end"/>
          </w:r>
          <w:r>
            <w:fldChar w:fldCharType="end"/>
          </w:r>
        </w:p>
        <w:p>
          <w:pPr>
            <w:pStyle w:val="12"/>
            <w:tabs>
              <w:tab w:val="right" w:leader="dot" w:pos="8296"/>
            </w:tabs>
            <w:rPr>
              <w:szCs w:val="22"/>
            </w:rPr>
          </w:pPr>
          <w:r>
            <w:fldChar w:fldCharType="begin"/>
          </w:r>
          <w:r>
            <w:instrText xml:space="preserve"> HYPERLINK \l "_Toc100577334" </w:instrText>
          </w:r>
          <w:r>
            <w:fldChar w:fldCharType="separate"/>
          </w:r>
          <w:r>
            <w:rPr>
              <w:rStyle w:val="19"/>
              <w:rFonts w:ascii="Times New Roman" w:hAnsi="Times New Roman" w:eastAsia="仿宋" w:cs="Times New Roman"/>
              <w:b/>
              <w:bCs/>
            </w:rPr>
            <w:t xml:space="preserve">7.2.6 </w:t>
          </w:r>
          <w:r>
            <w:rPr>
              <w:rStyle w:val="19"/>
              <w:rFonts w:hint="eastAsia" w:ascii="Times New Roman" w:hAnsi="Times New Roman" w:eastAsia="仿宋" w:cs="Times New Roman"/>
              <w:b/>
              <w:bCs/>
            </w:rPr>
            <w:t>使用贴、膜类载体材料产品的评估</w:t>
          </w:r>
          <w:r>
            <w:tab/>
          </w:r>
          <w:r>
            <w:fldChar w:fldCharType="begin"/>
          </w:r>
          <w:r>
            <w:instrText xml:space="preserve"> PAGEREF _Toc100577334 \h </w:instrText>
          </w:r>
          <w:r>
            <w:fldChar w:fldCharType="separate"/>
          </w:r>
          <w:r>
            <w:t>25</w:t>
          </w:r>
          <w:r>
            <w:fldChar w:fldCharType="end"/>
          </w:r>
          <w:r>
            <w:fldChar w:fldCharType="end"/>
          </w:r>
        </w:p>
        <w:p>
          <w:pPr>
            <w:pStyle w:val="12"/>
            <w:tabs>
              <w:tab w:val="right" w:leader="dot" w:pos="8296"/>
            </w:tabs>
            <w:rPr>
              <w:szCs w:val="22"/>
            </w:rPr>
          </w:pPr>
          <w:r>
            <w:fldChar w:fldCharType="begin"/>
          </w:r>
          <w:r>
            <w:instrText xml:space="preserve"> HYPERLINK \l "_Toc100577335" </w:instrText>
          </w:r>
          <w:r>
            <w:fldChar w:fldCharType="separate"/>
          </w:r>
          <w:r>
            <w:rPr>
              <w:rStyle w:val="19"/>
              <w:rFonts w:ascii="Times New Roman" w:hAnsi="Times New Roman" w:eastAsia="仿宋" w:cs="Times New Roman"/>
              <w:b/>
              <w:bCs/>
            </w:rPr>
            <w:t xml:space="preserve">7.3 </w:t>
          </w:r>
          <w:r>
            <w:rPr>
              <w:rStyle w:val="19"/>
              <w:rFonts w:hint="eastAsia" w:ascii="Times New Roman" w:hAnsi="Times New Roman" w:eastAsia="仿宋" w:cs="Times New Roman"/>
              <w:b/>
              <w:bCs/>
            </w:rPr>
            <w:t>化妆品安全评估报告（完整版）要求</w:t>
          </w:r>
          <w:r>
            <w:tab/>
          </w:r>
          <w:r>
            <w:fldChar w:fldCharType="begin"/>
          </w:r>
          <w:r>
            <w:instrText xml:space="preserve"> PAGEREF _Toc100577335 \h </w:instrText>
          </w:r>
          <w:r>
            <w:fldChar w:fldCharType="separate"/>
          </w:r>
          <w:r>
            <w:t>25</w:t>
          </w:r>
          <w:r>
            <w:fldChar w:fldCharType="end"/>
          </w:r>
          <w:r>
            <w:fldChar w:fldCharType="end"/>
          </w:r>
        </w:p>
        <w:p>
          <w:pPr>
            <w:pStyle w:val="12"/>
            <w:tabs>
              <w:tab w:val="right" w:leader="dot" w:pos="8296"/>
            </w:tabs>
            <w:rPr>
              <w:szCs w:val="22"/>
            </w:rPr>
          </w:pPr>
          <w:r>
            <w:fldChar w:fldCharType="begin"/>
          </w:r>
          <w:r>
            <w:instrText xml:space="preserve"> HYPERLINK \l "_Toc100577336" </w:instrText>
          </w:r>
          <w:r>
            <w:fldChar w:fldCharType="separate"/>
          </w:r>
          <w:r>
            <w:rPr>
              <w:rStyle w:val="19"/>
              <w:rFonts w:ascii="Times New Roman" w:hAnsi="Times New Roman" w:eastAsia="仿宋" w:cs="Times New Roman"/>
              <w:b/>
              <w:bCs/>
            </w:rPr>
            <w:t xml:space="preserve">7.3.1 </w:t>
          </w:r>
          <w:r>
            <w:rPr>
              <w:rStyle w:val="19"/>
              <w:rFonts w:hint="eastAsia" w:ascii="Times New Roman" w:hAnsi="Times New Roman" w:eastAsia="仿宋" w:cs="Times New Roman"/>
              <w:b/>
              <w:bCs/>
            </w:rPr>
            <w:t>原料安全评估可采用的证据类型</w:t>
          </w:r>
          <w:r>
            <w:tab/>
          </w:r>
          <w:r>
            <w:fldChar w:fldCharType="begin"/>
          </w:r>
          <w:r>
            <w:instrText xml:space="preserve"> PAGEREF _Toc100577336 \h </w:instrText>
          </w:r>
          <w:r>
            <w:fldChar w:fldCharType="separate"/>
          </w:r>
          <w:r>
            <w:t>25</w:t>
          </w:r>
          <w:r>
            <w:fldChar w:fldCharType="end"/>
          </w:r>
          <w:r>
            <w:fldChar w:fldCharType="end"/>
          </w:r>
        </w:p>
        <w:p>
          <w:pPr>
            <w:pStyle w:val="12"/>
            <w:tabs>
              <w:tab w:val="right" w:leader="dot" w:pos="8296"/>
            </w:tabs>
            <w:rPr>
              <w:szCs w:val="22"/>
            </w:rPr>
          </w:pPr>
          <w:r>
            <w:fldChar w:fldCharType="begin"/>
          </w:r>
          <w:r>
            <w:instrText xml:space="preserve"> HYPERLINK \l "_Toc100577337" </w:instrText>
          </w:r>
          <w:r>
            <w:fldChar w:fldCharType="separate"/>
          </w:r>
          <w:r>
            <w:rPr>
              <w:rStyle w:val="19"/>
              <w:rFonts w:ascii="Times New Roman" w:hAnsi="Times New Roman" w:eastAsia="仿宋" w:cs="Times New Roman"/>
              <w:b/>
              <w:bCs/>
            </w:rPr>
            <w:t xml:space="preserve">7.3.2 </w:t>
          </w:r>
          <w:r>
            <w:rPr>
              <w:rStyle w:val="19"/>
              <w:rFonts w:hint="eastAsia" w:ascii="Times New Roman" w:hAnsi="Times New Roman" w:eastAsia="仿宋" w:cs="Times New Roman"/>
              <w:b/>
              <w:bCs/>
            </w:rPr>
            <w:t>儿童化妆品的稳定性评估</w:t>
          </w:r>
          <w:r>
            <w:tab/>
          </w:r>
          <w:r>
            <w:fldChar w:fldCharType="begin"/>
          </w:r>
          <w:r>
            <w:instrText xml:space="preserve"> PAGEREF _Toc100577337 \h </w:instrText>
          </w:r>
          <w:r>
            <w:fldChar w:fldCharType="separate"/>
          </w:r>
          <w:r>
            <w:t>25</w:t>
          </w:r>
          <w:r>
            <w:fldChar w:fldCharType="end"/>
          </w:r>
          <w:r>
            <w:fldChar w:fldCharType="end"/>
          </w:r>
        </w:p>
        <w:p>
          <w:pPr>
            <w:pStyle w:val="12"/>
            <w:tabs>
              <w:tab w:val="right" w:leader="dot" w:pos="8296"/>
            </w:tabs>
            <w:rPr>
              <w:szCs w:val="22"/>
            </w:rPr>
          </w:pPr>
          <w:r>
            <w:fldChar w:fldCharType="begin"/>
          </w:r>
          <w:r>
            <w:instrText xml:space="preserve"> HYPERLINK \l "_Toc100577338" </w:instrText>
          </w:r>
          <w:r>
            <w:fldChar w:fldCharType="separate"/>
          </w:r>
          <w:r>
            <w:rPr>
              <w:rStyle w:val="19"/>
              <w:rFonts w:ascii="Times New Roman" w:hAnsi="Times New Roman" w:eastAsia="仿宋" w:cs="Times New Roman"/>
              <w:b/>
              <w:bCs/>
            </w:rPr>
            <w:t xml:space="preserve">7.3.3 </w:t>
          </w:r>
          <w:r>
            <w:rPr>
              <w:rStyle w:val="19"/>
              <w:rFonts w:hint="eastAsia" w:ascii="Times New Roman" w:hAnsi="Times New Roman" w:eastAsia="仿宋" w:cs="Times New Roman"/>
              <w:b/>
              <w:bCs/>
            </w:rPr>
            <w:t>其他评估内容要求</w:t>
          </w:r>
          <w:r>
            <w:tab/>
          </w:r>
          <w:r>
            <w:fldChar w:fldCharType="begin"/>
          </w:r>
          <w:r>
            <w:instrText xml:space="preserve"> PAGEREF _Toc100577338 \h </w:instrText>
          </w:r>
          <w:r>
            <w:fldChar w:fldCharType="separate"/>
          </w:r>
          <w:r>
            <w:t>26</w:t>
          </w:r>
          <w:r>
            <w:fldChar w:fldCharType="end"/>
          </w:r>
          <w:r>
            <w:fldChar w:fldCharType="end"/>
          </w:r>
        </w:p>
        <w:p>
          <w:pPr>
            <w:pStyle w:val="12"/>
            <w:tabs>
              <w:tab w:val="right" w:leader="dot" w:pos="8296"/>
            </w:tabs>
            <w:rPr>
              <w:szCs w:val="22"/>
            </w:rPr>
          </w:pPr>
          <w:r>
            <w:fldChar w:fldCharType="begin"/>
          </w:r>
          <w:r>
            <w:instrText xml:space="preserve"> HYPERLINK \l "_Toc100577339" </w:instrText>
          </w:r>
          <w:r>
            <w:fldChar w:fldCharType="separate"/>
          </w:r>
          <w:r>
            <w:rPr>
              <w:rStyle w:val="19"/>
              <w:rFonts w:hint="eastAsia" w:ascii="黑体" w:hAnsi="黑体" w:eastAsia="黑体" w:cs="黑体"/>
            </w:rPr>
            <w:t>附件</w:t>
          </w:r>
          <w:r>
            <w:tab/>
          </w:r>
          <w:r>
            <w:fldChar w:fldCharType="begin"/>
          </w:r>
          <w:r>
            <w:instrText xml:space="preserve"> PAGEREF _Toc100577339 \h </w:instrText>
          </w:r>
          <w:r>
            <w:fldChar w:fldCharType="separate"/>
          </w:r>
          <w:r>
            <w:t>27</w:t>
          </w:r>
          <w:r>
            <w:fldChar w:fldCharType="end"/>
          </w:r>
          <w:r>
            <w:fldChar w:fldCharType="end"/>
          </w:r>
        </w:p>
        <w:p>
          <w:pPr>
            <w:rPr>
              <w:rFonts w:ascii="Times New Roman" w:hAnsi="Times New Roman" w:cs="Times New Roman"/>
            </w:rPr>
          </w:pPr>
          <w:r>
            <w:rPr>
              <w:rFonts w:ascii="Times New Roman" w:hAnsi="Times New Roman" w:cs="Times New Roman"/>
            </w:rPr>
            <w:fldChar w:fldCharType="end"/>
          </w:r>
        </w:p>
      </w:sdtContent>
    </w:sdt>
    <w:p>
      <w:pPr>
        <w:widowControl/>
        <w:jc w:val="lef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指导原则旨在为化妆品注册人、备案人或者境内责任人进行儿童化妆品的注册或者备案时提供技术指导，同时为国家药品监督管理局化妆品技术审评部门（以下称技术审评部门）对儿童特殊化妆品技术审评工作提供依据，以及为各省、自治区、直辖市药品监督管理局普通化妆品备案管理部门（以下称备案管理部门）对儿童普通化妆品备案后技术核查提供技术支持。</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本指导原则是针对儿童化妆品的特定技术要求</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化妆品注册人、备案人或者境内责任人应当按照《化妆品监督管理条例》</w:t>
      </w:r>
      <w:r>
        <w:rPr>
          <w:rFonts w:hint="eastAsia" w:ascii="Times New Roman" w:hAnsi="Times New Roman" w:eastAsia="仿宋_GB2312" w:cs="Times New Roman"/>
          <w:sz w:val="32"/>
          <w:szCs w:val="32"/>
        </w:rPr>
        <w:t>（以下称《条例》）</w:t>
      </w:r>
      <w:r>
        <w:rPr>
          <w:rFonts w:ascii="Times New Roman" w:hAnsi="Times New Roman" w:eastAsia="仿宋_GB2312" w:cs="Times New Roman"/>
          <w:sz w:val="32"/>
          <w:szCs w:val="32"/>
        </w:rPr>
        <w:t>《化妆品注册备案管理办法》《化妆品注册备案资料管理规定》《儿童化妆品监督管理规定》《化妆品标签管理办法》《化妆品安全技术规范》《化妆品分类规则和分类目录》《化妆品功效宣称评价规范》《化妆品安全评估技术导则》等</w:t>
      </w:r>
      <w:r>
        <w:rPr>
          <w:rFonts w:hint="eastAsia" w:ascii="Times New Roman" w:hAnsi="Times New Roman" w:eastAsia="仿宋_GB2312" w:cs="Times New Roman"/>
          <w:sz w:val="32"/>
          <w:szCs w:val="32"/>
        </w:rPr>
        <w:t>法律、行政法规、部门规章、强制性国家标准、技术规范</w:t>
      </w:r>
      <w:r>
        <w:rPr>
          <w:rFonts w:ascii="Times New Roman" w:hAnsi="Times New Roman" w:eastAsia="仿宋_GB2312" w:cs="Times New Roman"/>
          <w:sz w:val="32"/>
          <w:szCs w:val="32"/>
        </w:rPr>
        <w:t>（以下称</w:t>
      </w:r>
      <w:r>
        <w:rPr>
          <w:rFonts w:hint="eastAsia" w:ascii="Times New Roman" w:hAnsi="Times New Roman" w:eastAsia="仿宋_GB2312" w:cs="Times New Roman"/>
          <w:sz w:val="32"/>
          <w:szCs w:val="32"/>
        </w:rPr>
        <w:t>相关法律法规和技术标准</w:t>
      </w:r>
      <w:r>
        <w:rPr>
          <w:rFonts w:ascii="Times New Roman" w:hAnsi="Times New Roman" w:eastAsia="仿宋_GB2312" w:cs="Times New Roman"/>
          <w:sz w:val="32"/>
          <w:szCs w:val="32"/>
        </w:rPr>
        <w:t>）要求，同时根据产品的具体特性和实际情况，对各项资料内容进行充实和细化。</w:t>
      </w:r>
      <w:r>
        <w:rPr>
          <w:rFonts w:hint="eastAsia" w:ascii="Times New Roman" w:hAnsi="Times New Roman" w:eastAsia="仿宋_GB2312" w:cs="Times New Roman"/>
          <w:sz w:val="32"/>
          <w:szCs w:val="32"/>
        </w:rPr>
        <w:t>儿童化妆品</w:t>
      </w:r>
      <w:r>
        <w:rPr>
          <w:rFonts w:ascii="Times New Roman" w:hAnsi="Times New Roman" w:eastAsia="仿宋_GB2312" w:cs="Times New Roman"/>
          <w:sz w:val="32"/>
          <w:szCs w:val="32"/>
        </w:rPr>
        <w:t>适用于其他技术指导原则的，还应当同时参考相应的指导原则要求。</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本指导原则是对化妆品注册人、备案人或者境内责任人、技术审评部门、备案管理部门的指导性技术文件，不包括注册申报审批、备案技术核查所涉及的行政管理事项，应当在遵循相关</w:t>
      </w:r>
      <w:r>
        <w:rPr>
          <w:rFonts w:hint="eastAsia" w:ascii="Times New Roman" w:hAnsi="Times New Roman" w:eastAsia="仿宋_GB2312" w:cs="Times New Roman"/>
          <w:sz w:val="32"/>
          <w:szCs w:val="32"/>
        </w:rPr>
        <w:t>法律</w:t>
      </w:r>
      <w:r>
        <w:rPr>
          <w:rFonts w:ascii="Times New Roman" w:hAnsi="Times New Roman" w:eastAsia="仿宋_GB2312" w:cs="Times New Roman"/>
          <w:sz w:val="32"/>
          <w:szCs w:val="32"/>
        </w:rPr>
        <w:t xml:space="preserve">法规和技术标准的前提下使用。 </w:t>
      </w:r>
    </w:p>
    <w:p>
      <w:pPr>
        <w:snapToGrid w:val="0"/>
        <w:spacing w:line="560" w:lineRule="exact"/>
        <w:ind w:firstLine="640" w:firstLineChars="200"/>
        <w:rPr>
          <w:rFonts w:ascii="Times New Roman" w:hAnsi="Times New Roman" w:eastAsia="仿宋" w:cs="Times New Roman"/>
          <w:sz w:val="32"/>
          <w:szCs w:val="32"/>
        </w:rPr>
      </w:pPr>
      <w:r>
        <w:rPr>
          <w:rFonts w:ascii="Times New Roman" w:hAnsi="Times New Roman" w:eastAsia="仿宋_GB2312" w:cs="Times New Roman"/>
          <w:sz w:val="32"/>
          <w:szCs w:val="32"/>
        </w:rPr>
        <w:t>本指导原则在现行法规、</w:t>
      </w:r>
      <w:r>
        <w:rPr>
          <w:rFonts w:hint="eastAsia" w:ascii="Times New Roman" w:hAnsi="Times New Roman" w:eastAsia="仿宋_GB2312" w:cs="Times New Roman"/>
          <w:sz w:val="32"/>
          <w:szCs w:val="32"/>
        </w:rPr>
        <w:t>技术</w:t>
      </w:r>
      <w:r>
        <w:rPr>
          <w:rFonts w:ascii="Times New Roman" w:hAnsi="Times New Roman" w:eastAsia="仿宋_GB2312" w:cs="Times New Roman"/>
          <w:sz w:val="32"/>
          <w:szCs w:val="32"/>
        </w:rPr>
        <w:t>标准以及当前认知水平下制定，随着</w:t>
      </w:r>
      <w:r>
        <w:rPr>
          <w:rFonts w:hint="eastAsia" w:ascii="Times New Roman" w:hAnsi="Times New Roman" w:eastAsia="仿宋_GB2312" w:cs="Times New Roman"/>
          <w:sz w:val="32"/>
          <w:szCs w:val="32"/>
        </w:rPr>
        <w:t>相关法律</w:t>
      </w:r>
      <w:r>
        <w:rPr>
          <w:rFonts w:ascii="Times New Roman" w:hAnsi="Times New Roman" w:eastAsia="仿宋_GB2312" w:cs="Times New Roman"/>
          <w:sz w:val="32"/>
          <w:szCs w:val="32"/>
        </w:rPr>
        <w:t>法规和</w:t>
      </w:r>
      <w:r>
        <w:rPr>
          <w:rFonts w:hint="eastAsia" w:ascii="Times New Roman" w:hAnsi="Times New Roman" w:eastAsia="仿宋_GB2312" w:cs="Times New Roman"/>
          <w:sz w:val="32"/>
          <w:szCs w:val="32"/>
        </w:rPr>
        <w:t>技术</w:t>
      </w:r>
      <w:r>
        <w:rPr>
          <w:rFonts w:ascii="Times New Roman" w:hAnsi="Times New Roman" w:eastAsia="仿宋_GB2312" w:cs="Times New Roman"/>
          <w:sz w:val="32"/>
          <w:szCs w:val="32"/>
        </w:rPr>
        <w:t>标准的不断完善以及科学技术的不断发展，相关内容可能适时调整。</w:t>
      </w:r>
    </w:p>
    <w:p>
      <w:pPr>
        <w:snapToGrid w:val="0"/>
        <w:spacing w:line="560" w:lineRule="exact"/>
        <w:ind w:left="643"/>
        <w:outlineLvl w:val="0"/>
        <w:rPr>
          <w:rFonts w:ascii="Times New Roman" w:hAnsi="Times New Roman" w:eastAsia="仿宋" w:cs="Times New Roman"/>
          <w:b/>
          <w:bCs/>
          <w:sz w:val="32"/>
          <w:szCs w:val="32"/>
        </w:rPr>
      </w:pPr>
      <w:bookmarkStart w:id="0" w:name="_Toc96964890"/>
      <w:bookmarkEnd w:id="0"/>
      <w:bookmarkStart w:id="1" w:name="_Toc100577293"/>
      <w:r>
        <w:rPr>
          <w:rFonts w:ascii="Times New Roman" w:hAnsi="Times New Roman" w:eastAsia="仿宋" w:cs="Times New Roman"/>
          <w:b/>
          <w:bCs/>
          <w:sz w:val="32"/>
          <w:szCs w:val="32"/>
        </w:rPr>
        <w:t>1.</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儿童化妆品基本要求</w:t>
      </w:r>
      <w:bookmarkEnd w:id="1"/>
    </w:p>
    <w:p>
      <w:pPr>
        <w:snapToGrid w:val="0"/>
        <w:spacing w:line="560" w:lineRule="exact"/>
        <w:ind w:firstLine="643" w:firstLineChars="200"/>
        <w:outlineLvl w:val="1"/>
        <w:rPr>
          <w:rFonts w:ascii="Times New Roman" w:hAnsi="Times New Roman" w:eastAsia="仿宋" w:cs="Times New Roman"/>
          <w:b/>
          <w:bCs/>
          <w:sz w:val="32"/>
          <w:szCs w:val="32"/>
        </w:rPr>
      </w:pPr>
      <w:bookmarkStart w:id="2" w:name="_Toc100577294"/>
      <w:r>
        <w:rPr>
          <w:rFonts w:ascii="Times New Roman" w:hAnsi="Times New Roman" w:eastAsia="仿宋" w:cs="Times New Roman"/>
          <w:b/>
          <w:bCs/>
          <w:sz w:val="32"/>
          <w:szCs w:val="32"/>
        </w:rPr>
        <w:t>1.1</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基本属性</w:t>
      </w:r>
      <w:bookmarkEnd w:id="2"/>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指导原则所称儿童化妆品，是指适用于年龄在12周岁以下（含12周岁）儿童，具有清洁、保湿、爽身、防晒等功效的化妆品，主要依据产品标签宣称以及使用人群进行判定。按照《儿童化妆品监督管理规定》第三条，产品标签标识“适用于全人群”“全家使用”等词语或者利用商标、图案、谐音、字母、汉语拼音、数字、符号、包装形式等暗示产品使用人群包含儿童的产品按照儿童化妆品管理，应当遵循儿童化妆品的相关规定。</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化妆品注册人、备案人对儿童化妆品的质量安全和功效宣称负责。化妆品注册人、备案人应当根据儿童的生理特点和可能的应用场景，遵循科学性、必要性的原则，研制开发儿童化妆品，充分开展安全技术评价。按照《化妆品分类规则和分类目录》规定，儿童化妆品将按“婴幼儿”（0～3周岁，含3周岁）以及“儿童”（3～12周岁，含12周岁）分类，对产品配方原料选择、标签标识、产品执行的标准、安全评估等有不同要求。</w:t>
      </w:r>
    </w:p>
    <w:p>
      <w:pPr>
        <w:snapToGrid w:val="0"/>
        <w:spacing w:line="560" w:lineRule="exact"/>
        <w:ind w:firstLine="643" w:firstLineChars="200"/>
        <w:outlineLvl w:val="1"/>
        <w:rPr>
          <w:rFonts w:ascii="Times New Roman" w:hAnsi="Times New Roman" w:eastAsia="仿宋" w:cs="Times New Roman"/>
          <w:b/>
          <w:bCs/>
          <w:sz w:val="32"/>
          <w:szCs w:val="32"/>
        </w:rPr>
      </w:pPr>
      <w:bookmarkStart w:id="3" w:name="_Toc100577295"/>
      <w:r>
        <w:rPr>
          <w:rFonts w:ascii="Times New Roman" w:hAnsi="Times New Roman" w:eastAsia="仿宋" w:cs="Times New Roman"/>
          <w:b/>
          <w:bCs/>
          <w:sz w:val="32"/>
          <w:szCs w:val="32"/>
        </w:rPr>
        <w:t>1.2</w:t>
      </w:r>
      <w:bookmarkStart w:id="4" w:name="_Toc25461"/>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产品分类编码</w:t>
      </w:r>
      <w:bookmarkEnd w:id="4"/>
      <w:r>
        <w:rPr>
          <w:rFonts w:ascii="Times New Roman" w:hAnsi="Times New Roman" w:eastAsia="仿宋" w:cs="Times New Roman"/>
          <w:b/>
          <w:bCs/>
          <w:sz w:val="32"/>
          <w:szCs w:val="32"/>
        </w:rPr>
        <w:t>以及申报类别要求</w:t>
      </w:r>
      <w:bookmarkEnd w:id="3"/>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化妆品注册人、备案人或者境内责任人应当按照《化妆品分类规则和分类目录》等相关法规的要求，在《化妆品注册备案信息表》分类编码中依次选择功效宣称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作用部位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使用人群</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产品剂型和使用方法的层次码，使用人群应当至少包括婴幼儿或者儿童，属于特殊化妆品的，申报类别应当与分类编码中功效宣称一致。</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进口儿童化妆品应当按照化妆品注册人、备案人所在国（地区）或生产国（地区）销售包装标签（含说明书）中的</w:t>
      </w:r>
      <w:r>
        <w:rPr>
          <w:rFonts w:hint="eastAsia" w:ascii="Times New Roman" w:hAnsi="Times New Roman" w:eastAsia="仿宋_GB2312" w:cs="Times New Roman"/>
          <w:sz w:val="32"/>
          <w:szCs w:val="32"/>
        </w:rPr>
        <w:t>功效宣称</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作用</w:t>
      </w:r>
      <w:r>
        <w:rPr>
          <w:rFonts w:ascii="Times New Roman" w:hAnsi="Times New Roman" w:eastAsia="仿宋_GB2312" w:cs="Times New Roman"/>
          <w:sz w:val="32"/>
          <w:szCs w:val="32"/>
        </w:rPr>
        <w:t>部位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使用人群、使用方法等填写分类编码以及申报类别，不得随意改变产品分类</w:t>
      </w:r>
      <w:r>
        <w:rPr>
          <w:rFonts w:hint="eastAsia" w:ascii="Times New Roman" w:hAnsi="Times New Roman" w:eastAsia="仿宋_GB2312" w:cs="Times New Roman"/>
          <w:sz w:val="32"/>
          <w:szCs w:val="32"/>
        </w:rPr>
        <w:t>编码</w:t>
      </w:r>
      <w:r>
        <w:rPr>
          <w:rFonts w:ascii="Times New Roman" w:hAnsi="Times New Roman" w:eastAsia="仿宋_GB2312" w:cs="Times New Roman"/>
          <w:sz w:val="32"/>
          <w:szCs w:val="32"/>
        </w:rPr>
        <w:t>与申报类别。</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主要有清洁、保湿、爽身、防晒等功效，按照《化妆品分类规则和分类目录》规定，使用人群为“婴幼儿”（0～3周岁，含3周岁）的，功效宣称仅限于清洁、保湿、护发、防晒、舒缓、爽身；使用人群为“儿童”（3～12周岁，含12周岁）的，功效宣称仅限于清洁、卸妆、保湿、美容修饰、芳香、护发、防晒、修护、舒缓、爽身。对功效宣称为卸妆、美容修饰、芳香、护发的，不建议日常使用，应当在使用方法中明确使用场景、使用频次等，并明确标识。</w:t>
      </w:r>
    </w:p>
    <w:p>
      <w:pPr>
        <w:snapToGrid w:val="0"/>
        <w:spacing w:line="560" w:lineRule="exact"/>
        <w:ind w:firstLine="643" w:firstLineChars="200"/>
        <w:outlineLvl w:val="1"/>
        <w:rPr>
          <w:rFonts w:ascii="Times New Roman" w:hAnsi="Times New Roman" w:eastAsia="仿宋" w:cs="Times New Roman"/>
          <w:b/>
          <w:bCs/>
          <w:sz w:val="32"/>
          <w:szCs w:val="32"/>
        </w:rPr>
      </w:pPr>
      <w:bookmarkStart w:id="5" w:name="_Toc100577296"/>
      <w:r>
        <w:rPr>
          <w:rFonts w:ascii="Times New Roman" w:hAnsi="Times New Roman" w:eastAsia="仿宋" w:cs="Times New Roman"/>
          <w:b/>
          <w:bCs/>
          <w:sz w:val="32"/>
          <w:szCs w:val="32"/>
        </w:rPr>
        <w:t>1.3</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产品配方专为中国市场设计的进口儿童化妆品要求</w:t>
      </w:r>
      <w:bookmarkEnd w:id="5"/>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产品配方专为中国市场设计的进口儿童化妆品（境内委托境外生产的除外），应当针对中国儿童消费者的肤质类型、消费需求等进行配方设计，所提交的说明资料应当能体现出专为中国市场设计的必要性以及所开展的相关研发工作。例如，从帮助中国儿童减轻紫外线损伤角度，可以选择分析中国儿童Fitzpatrick皮肤分型、紫外线应答特点及健康风险、我国紫外线强度及分布特点、基于我国健康需求和审美需求的市场调查或需求分析等，并阐述相应的产品开发和配方设计。</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专为中国市场设计的儿童化妆品应当在中国境内选用中国成人消费者开展消费者测试研究或者人体功效试验（例如宣称防晒、修护、舒缓以及特定宣称），所提交的功效宣称评价资料应当符合《化妆品功效宣称评价规范》等相关法规的要求；安全评估资料中应当充分考虑基于中国</w:t>
      </w:r>
      <w:r>
        <w:rPr>
          <w:rFonts w:hint="eastAsia" w:ascii="Times New Roman" w:hAnsi="Times New Roman" w:eastAsia="仿宋_GB2312" w:cs="Times New Roman"/>
          <w:sz w:val="32"/>
          <w:szCs w:val="32"/>
        </w:rPr>
        <w:t>儿童</w:t>
      </w:r>
      <w:r>
        <w:rPr>
          <w:rFonts w:ascii="Times New Roman" w:hAnsi="Times New Roman" w:eastAsia="仿宋_GB2312" w:cs="Times New Roman"/>
          <w:sz w:val="32"/>
          <w:szCs w:val="32"/>
        </w:rPr>
        <w:t>皮肤暴露数据以及中国</w:t>
      </w:r>
      <w:r>
        <w:rPr>
          <w:rFonts w:hint="eastAsia" w:ascii="Times New Roman" w:hAnsi="Times New Roman" w:eastAsia="仿宋_GB2312" w:cs="Times New Roman"/>
          <w:sz w:val="32"/>
          <w:szCs w:val="32"/>
        </w:rPr>
        <w:t>儿童</w:t>
      </w:r>
      <w:r>
        <w:rPr>
          <w:rFonts w:ascii="Times New Roman" w:hAnsi="Times New Roman" w:eastAsia="仿宋_GB2312" w:cs="Times New Roman"/>
          <w:sz w:val="32"/>
          <w:szCs w:val="32"/>
        </w:rPr>
        <w:t>化妆品使用特点，鼓励引用类似配方产品在国际国内市场多年上市的安全评价</w:t>
      </w:r>
      <w:r>
        <w:rPr>
          <w:rFonts w:hint="eastAsia" w:ascii="Times New Roman" w:hAnsi="Times New Roman" w:eastAsia="仿宋_GB2312" w:cs="Times New Roman"/>
          <w:sz w:val="32"/>
          <w:szCs w:val="32"/>
        </w:rPr>
        <w:t>数据</w:t>
      </w:r>
      <w:r>
        <w:rPr>
          <w:rFonts w:ascii="Times New Roman" w:hAnsi="Times New Roman" w:eastAsia="仿宋_GB2312" w:cs="Times New Roman"/>
          <w:sz w:val="32"/>
          <w:szCs w:val="32"/>
        </w:rPr>
        <w:t>作为证据支持。但在特殊化妆品申请</w:t>
      </w:r>
      <w:r>
        <w:rPr>
          <w:rFonts w:hint="eastAsia" w:ascii="Times New Roman" w:hAnsi="Times New Roman" w:eastAsia="仿宋_GB2312" w:cs="Times New Roman"/>
          <w:sz w:val="32"/>
          <w:szCs w:val="32"/>
        </w:rPr>
        <w:t>注册证有效期</w:t>
      </w:r>
      <w:r>
        <w:rPr>
          <w:rFonts w:ascii="Times New Roman" w:hAnsi="Times New Roman" w:eastAsia="仿宋_GB2312" w:cs="Times New Roman"/>
          <w:sz w:val="32"/>
          <w:szCs w:val="32"/>
        </w:rPr>
        <w:t>延续时，应当提交在中国境内儿童</w:t>
      </w:r>
      <w:r>
        <w:rPr>
          <w:rFonts w:hint="eastAsia" w:ascii="Times New Roman" w:hAnsi="Times New Roman" w:eastAsia="仿宋_GB2312" w:cs="Times New Roman"/>
          <w:sz w:val="32"/>
          <w:szCs w:val="32"/>
        </w:rPr>
        <w:t>消费者</w:t>
      </w:r>
      <w:r>
        <w:rPr>
          <w:rFonts w:ascii="Times New Roman" w:hAnsi="Times New Roman" w:eastAsia="仿宋_GB2312" w:cs="Times New Roman"/>
          <w:sz w:val="32"/>
          <w:szCs w:val="32"/>
        </w:rPr>
        <w:t>的不良反应监测数据，至少包括上市年限、销售数量、不良反应案例信息汇总等，内容应当真实、科学、完整。</w:t>
      </w:r>
    </w:p>
    <w:p>
      <w:pPr>
        <w:snapToGrid w:val="0"/>
        <w:spacing w:line="560" w:lineRule="exact"/>
        <w:ind w:left="643"/>
        <w:outlineLvl w:val="0"/>
        <w:rPr>
          <w:rFonts w:ascii="Times New Roman" w:hAnsi="Times New Roman" w:eastAsia="仿宋" w:cs="Times New Roman"/>
          <w:b/>
          <w:bCs/>
          <w:sz w:val="32"/>
          <w:szCs w:val="32"/>
        </w:rPr>
      </w:pPr>
      <w:bookmarkStart w:id="6" w:name="_Toc100577297"/>
      <w:r>
        <w:rPr>
          <w:rFonts w:ascii="Times New Roman" w:hAnsi="Times New Roman" w:eastAsia="仿宋" w:cs="Times New Roman"/>
          <w:b/>
          <w:bCs/>
          <w:sz w:val="32"/>
          <w:szCs w:val="32"/>
        </w:rPr>
        <w:t>2.</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儿童化妆品产品名称及相关资料</w:t>
      </w:r>
      <w:bookmarkStart w:id="7" w:name="_Toc96964662"/>
      <w:bookmarkEnd w:id="7"/>
      <w:bookmarkStart w:id="8" w:name="_Toc96964708"/>
      <w:bookmarkEnd w:id="8"/>
      <w:bookmarkStart w:id="9" w:name="_Toc96964989"/>
      <w:bookmarkEnd w:id="9"/>
      <w:bookmarkStart w:id="10" w:name="_Toc96964849"/>
      <w:bookmarkEnd w:id="10"/>
      <w:bookmarkStart w:id="11" w:name="_Toc96431313"/>
      <w:bookmarkEnd w:id="11"/>
      <w:bookmarkStart w:id="12" w:name="_Toc96964896"/>
      <w:bookmarkEnd w:id="12"/>
      <w:bookmarkStart w:id="13" w:name="_Toc96965081"/>
      <w:bookmarkEnd w:id="13"/>
      <w:bookmarkStart w:id="14" w:name="_Toc96964755"/>
      <w:bookmarkEnd w:id="14"/>
      <w:bookmarkStart w:id="15" w:name="_Toc96430632"/>
      <w:bookmarkEnd w:id="15"/>
      <w:bookmarkStart w:id="16" w:name="_Toc96430755"/>
      <w:bookmarkEnd w:id="16"/>
      <w:bookmarkStart w:id="17" w:name="_Toc96964802"/>
      <w:bookmarkEnd w:id="17"/>
      <w:bookmarkStart w:id="18" w:name="_Toc96964943"/>
      <w:bookmarkEnd w:id="18"/>
      <w:bookmarkStart w:id="19" w:name="_Toc96964540"/>
      <w:bookmarkEnd w:id="19"/>
      <w:bookmarkStart w:id="20" w:name="_Toc96965035"/>
      <w:bookmarkEnd w:id="20"/>
      <w:bookmarkStart w:id="21" w:name="_Toc96430811"/>
      <w:bookmarkEnd w:id="21"/>
      <w:r>
        <w:rPr>
          <w:rFonts w:ascii="Times New Roman" w:hAnsi="Times New Roman" w:eastAsia="仿宋" w:cs="Times New Roman"/>
          <w:b/>
          <w:bCs/>
          <w:sz w:val="32"/>
          <w:szCs w:val="32"/>
        </w:rPr>
        <w:t>要求</w:t>
      </w:r>
      <w:bookmarkEnd w:id="6"/>
    </w:p>
    <w:p>
      <w:pPr>
        <w:snapToGrid w:val="0"/>
        <w:spacing w:line="560" w:lineRule="exact"/>
        <w:ind w:firstLine="643" w:firstLineChars="200"/>
        <w:outlineLvl w:val="1"/>
        <w:rPr>
          <w:rFonts w:ascii="Times New Roman" w:hAnsi="Times New Roman" w:eastAsia="仿宋" w:cs="Times New Roman"/>
          <w:b/>
          <w:bCs/>
          <w:sz w:val="32"/>
          <w:szCs w:val="32"/>
        </w:rPr>
      </w:pPr>
      <w:bookmarkStart w:id="22" w:name="_Toc100577298"/>
      <w:r>
        <w:rPr>
          <w:rFonts w:ascii="Times New Roman" w:hAnsi="Times New Roman" w:eastAsia="仿宋" w:cs="Times New Roman"/>
          <w:b/>
          <w:bCs/>
          <w:sz w:val="32"/>
          <w:szCs w:val="32"/>
        </w:rPr>
        <w:t>2.1</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产品中文名称</w:t>
      </w:r>
      <w:bookmarkStart w:id="23" w:name="_Toc96430633"/>
      <w:bookmarkEnd w:id="23"/>
      <w:bookmarkStart w:id="24" w:name="_Toc96430756"/>
      <w:bookmarkEnd w:id="24"/>
      <w:bookmarkStart w:id="25" w:name="_Toc96430812"/>
      <w:bookmarkEnd w:id="25"/>
      <w:bookmarkStart w:id="26" w:name="_Toc96431314"/>
      <w:bookmarkEnd w:id="26"/>
      <w:r>
        <w:rPr>
          <w:rFonts w:ascii="Times New Roman" w:hAnsi="Times New Roman" w:eastAsia="仿宋" w:cs="Times New Roman"/>
          <w:b/>
          <w:bCs/>
          <w:sz w:val="32"/>
          <w:szCs w:val="32"/>
        </w:rPr>
        <w:t>要求</w:t>
      </w:r>
      <w:bookmarkEnd w:id="22"/>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产品中文名称应当符合《化妆品标签管理办法》等相关法规要求。防晒类儿童化妆品中文名称中含有防晒指数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SPF值</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或PA等级等内容的，应当与《化妆品注册备案申请表》中填报的相关内容一致，</w:t>
      </w:r>
      <w:r>
        <w:rPr>
          <w:rFonts w:hint="eastAsia" w:ascii="Times New Roman" w:hAnsi="Times New Roman" w:eastAsia="仿宋_GB2312" w:cs="Times New Roman"/>
          <w:sz w:val="32"/>
          <w:szCs w:val="32"/>
        </w:rPr>
        <w:t>且</w:t>
      </w:r>
      <w:r>
        <w:rPr>
          <w:rFonts w:ascii="Times New Roman" w:hAnsi="Times New Roman" w:eastAsia="仿宋_GB2312" w:cs="Times New Roman"/>
          <w:sz w:val="32"/>
          <w:szCs w:val="32"/>
        </w:rPr>
        <w:t>符合防晒化妆品防晒效果标识管理要求以及其他相关法规要求。</w:t>
      </w:r>
      <w:bookmarkStart w:id="27" w:name="_Toc96430813"/>
      <w:bookmarkEnd w:id="27"/>
      <w:bookmarkStart w:id="28" w:name="_Toc96430757"/>
      <w:bookmarkEnd w:id="28"/>
      <w:bookmarkStart w:id="29" w:name="_Toc96430634"/>
      <w:bookmarkEnd w:id="29"/>
      <w:bookmarkStart w:id="30" w:name="_Toc96431315"/>
      <w:bookmarkEnd w:id="30"/>
    </w:p>
    <w:p>
      <w:pPr>
        <w:snapToGrid w:val="0"/>
        <w:spacing w:line="560" w:lineRule="exact"/>
        <w:ind w:firstLine="643" w:firstLineChars="200"/>
        <w:outlineLvl w:val="1"/>
        <w:rPr>
          <w:rFonts w:ascii="Times New Roman" w:hAnsi="Times New Roman" w:eastAsia="仿宋" w:cs="Times New Roman"/>
          <w:b/>
          <w:bCs/>
          <w:sz w:val="32"/>
          <w:szCs w:val="32"/>
        </w:rPr>
      </w:pPr>
      <w:bookmarkStart w:id="31" w:name="_Toc100577299"/>
      <w:r>
        <w:rPr>
          <w:rFonts w:ascii="Times New Roman" w:hAnsi="Times New Roman" w:eastAsia="仿宋" w:cs="Times New Roman"/>
          <w:b/>
          <w:bCs/>
          <w:sz w:val="32"/>
          <w:szCs w:val="32"/>
        </w:rPr>
        <w:t>2.2 命名依据</w:t>
      </w:r>
      <w:bookmarkStart w:id="32" w:name="_Toc96431316"/>
      <w:bookmarkEnd w:id="32"/>
      <w:bookmarkStart w:id="33" w:name="_Toc96430635"/>
      <w:bookmarkEnd w:id="33"/>
      <w:bookmarkStart w:id="34" w:name="_Toc96430814"/>
      <w:bookmarkEnd w:id="34"/>
      <w:bookmarkStart w:id="35" w:name="_Toc96430758"/>
      <w:bookmarkEnd w:id="35"/>
      <w:r>
        <w:rPr>
          <w:rFonts w:ascii="Times New Roman" w:hAnsi="Times New Roman" w:eastAsia="仿宋" w:cs="Times New Roman"/>
          <w:b/>
          <w:bCs/>
          <w:sz w:val="32"/>
          <w:szCs w:val="32"/>
        </w:rPr>
        <w:t>要求</w:t>
      </w:r>
      <w:bookmarkEnd w:id="31"/>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命名依据中对商标名、通用名、属性名、后缀的划分应当科学准确，各部分具体含义以及产品中文名称的整体解释应当合理。商标名、通用名、属性名的使用，应当符合《化妆品标签管理办法》等相关法规要求。 </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商标名的使用除符合国家商标有关法律法规的规定外，还应当符合国家化妆品管理相关法律法规的规定。以原料名称或</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暗示含有某种原料的用语作为商标名，产品配方中含有该种原料的，应当在销售包装可视面对其使用目的进行说明；产品配方不含有该原料的，应当在销售包装可视面明确标注不含该原料，原料名称仅作商标名使用。产品中文名称中商标名使用字母、汉语拼音、数字、符号等的，应当有相应的商标注册证。</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在通用名中，使用具体原料名称或表明原料类别词汇的，</w:t>
      </w:r>
      <w:r>
        <w:rPr>
          <w:rFonts w:hint="eastAsia" w:ascii="Times New Roman" w:hAnsi="Times New Roman" w:eastAsia="仿宋_GB2312" w:cs="Times New Roman"/>
          <w:sz w:val="32"/>
          <w:szCs w:val="32"/>
        </w:rPr>
        <w:t>应当与产品配方成分相符</w:t>
      </w:r>
      <w:r>
        <w:rPr>
          <w:rFonts w:ascii="Times New Roman" w:hAnsi="Times New Roman" w:eastAsia="仿宋_GB2312" w:cs="Times New Roman"/>
          <w:sz w:val="32"/>
          <w:szCs w:val="32"/>
        </w:rPr>
        <w:t>，且</w:t>
      </w:r>
      <w:r>
        <w:rPr>
          <w:rFonts w:hint="eastAsia" w:ascii="Times New Roman" w:hAnsi="Times New Roman" w:eastAsia="仿宋_GB2312" w:cs="Times New Roman"/>
          <w:sz w:val="32"/>
          <w:szCs w:val="32"/>
        </w:rPr>
        <w:t>该原料在产品中产生的功效作用应当</w:t>
      </w:r>
      <w:r>
        <w:rPr>
          <w:rFonts w:ascii="Times New Roman" w:hAnsi="Times New Roman" w:eastAsia="仿宋_GB2312" w:cs="Times New Roman"/>
          <w:sz w:val="32"/>
          <w:szCs w:val="32"/>
        </w:rPr>
        <w:t>与产品功效宣称相符；使用动物、植物</w:t>
      </w:r>
      <w:r>
        <w:rPr>
          <w:rFonts w:hint="eastAsia" w:ascii="Times New Roman" w:hAnsi="Times New Roman" w:eastAsia="仿宋_GB2312" w:cs="Times New Roman"/>
          <w:sz w:val="32"/>
          <w:szCs w:val="32"/>
        </w:rPr>
        <w:t>或者</w:t>
      </w:r>
      <w:r>
        <w:rPr>
          <w:rFonts w:ascii="Times New Roman" w:hAnsi="Times New Roman" w:eastAsia="仿宋_GB2312" w:cs="Times New Roman"/>
          <w:sz w:val="32"/>
          <w:szCs w:val="32"/>
        </w:rPr>
        <w:t>矿物等名称描述产品的香型、颜色或形状的，配方中可</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不含此类原料，命名时可以在通用名中采用动物、植物</w:t>
      </w:r>
      <w:r>
        <w:rPr>
          <w:rFonts w:hint="eastAsia" w:ascii="Times New Roman" w:hAnsi="Times New Roman" w:eastAsia="仿宋_GB2312" w:cs="Times New Roman"/>
          <w:sz w:val="32"/>
          <w:szCs w:val="32"/>
        </w:rPr>
        <w:t>或者</w:t>
      </w:r>
      <w:r>
        <w:rPr>
          <w:rFonts w:ascii="Times New Roman" w:hAnsi="Times New Roman" w:eastAsia="仿宋_GB2312" w:cs="Times New Roman"/>
          <w:sz w:val="32"/>
          <w:szCs w:val="32"/>
        </w:rPr>
        <w:t>矿物等名称加香型、颜色或形状的形式，也可在属性名后加以注明。</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属性名应当表明产品真实的物理性状或</w:t>
      </w:r>
      <w:r>
        <w:rPr>
          <w:rFonts w:hint="eastAsia" w:ascii="Times New Roman" w:hAnsi="Times New Roman" w:eastAsia="仿宋_GB2312" w:cs="Times New Roman"/>
          <w:sz w:val="32"/>
          <w:szCs w:val="32"/>
        </w:rPr>
        <w:t>者</w:t>
      </w:r>
      <w:r>
        <w:rPr>
          <w:rFonts w:ascii="Times New Roman" w:hAnsi="Times New Roman" w:eastAsia="仿宋_GB2312" w:cs="Times New Roman"/>
          <w:sz w:val="32"/>
          <w:szCs w:val="32"/>
        </w:rPr>
        <w:t>形态，且与产品执行的标准中感官指标相关内容相符。</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不同产品的商标名、通用名、属性名相同时，其他需要标注的内容应当在属性名后加以注明，包括防晒指数、气味、适用发质、肤质</w:t>
      </w:r>
      <w:r>
        <w:rPr>
          <w:rFonts w:hint="eastAsia" w:ascii="Times New Roman" w:hAnsi="Times New Roman" w:eastAsia="仿宋_GB2312" w:cs="Times New Roman"/>
          <w:sz w:val="32"/>
          <w:szCs w:val="32"/>
        </w:rPr>
        <w:t>或者</w:t>
      </w:r>
      <w:r>
        <w:rPr>
          <w:rFonts w:ascii="Times New Roman" w:hAnsi="Times New Roman" w:eastAsia="仿宋_GB2312" w:cs="Times New Roman"/>
          <w:sz w:val="32"/>
          <w:szCs w:val="32"/>
        </w:rPr>
        <w:t>特定人群、颜色或色号等内容。</w:t>
      </w:r>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商标名、通用名或者属性名单独使用时符合本条上述要求，组合使用时可能使消费者对产品功效产生歧义的，应当在销售包装可视面予以解释说明。</w:t>
      </w:r>
    </w:p>
    <w:p>
      <w:pPr>
        <w:snapToGrid w:val="0"/>
        <w:spacing w:line="560" w:lineRule="exact"/>
        <w:ind w:firstLine="643" w:firstLineChars="200"/>
        <w:outlineLvl w:val="1"/>
        <w:rPr>
          <w:rFonts w:ascii="Times New Roman" w:hAnsi="Times New Roman" w:eastAsia="仿宋" w:cs="Times New Roman"/>
          <w:b/>
          <w:bCs/>
          <w:sz w:val="32"/>
          <w:szCs w:val="32"/>
        </w:rPr>
      </w:pPr>
      <w:bookmarkStart w:id="36" w:name="_Toc100577300"/>
      <w:r>
        <w:rPr>
          <w:rFonts w:ascii="Times New Roman" w:hAnsi="Times New Roman" w:eastAsia="仿宋" w:cs="Times New Roman"/>
          <w:b/>
          <w:bCs/>
          <w:sz w:val="32"/>
          <w:szCs w:val="32"/>
        </w:rPr>
        <w:t>2.3 进口儿童化妆品要求</w:t>
      </w:r>
      <w:bookmarkEnd w:id="36"/>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进口儿童化妆品应当同时提交产品外文名称和中文名称，并说明中文名称与外文名称的对应关系（专为中国市场设计无外文名称的除外），若无明确对应关系，应当予以科学、合理说明。</w:t>
      </w:r>
      <w:bookmarkStart w:id="37" w:name="_Toc96431318"/>
      <w:bookmarkEnd w:id="37"/>
      <w:bookmarkStart w:id="38" w:name="_Toc96430816"/>
      <w:bookmarkEnd w:id="38"/>
      <w:bookmarkStart w:id="39" w:name="_Toc96430760"/>
      <w:bookmarkEnd w:id="39"/>
      <w:bookmarkStart w:id="40" w:name="_Toc96430637"/>
      <w:bookmarkEnd w:id="40"/>
    </w:p>
    <w:p>
      <w:pPr>
        <w:snapToGrid w:val="0"/>
        <w:spacing w:line="560" w:lineRule="exact"/>
        <w:ind w:left="643"/>
        <w:outlineLvl w:val="0"/>
        <w:rPr>
          <w:rFonts w:ascii="Times New Roman" w:hAnsi="Times New Roman" w:eastAsia="仿宋" w:cs="Times New Roman"/>
          <w:b/>
          <w:bCs/>
          <w:sz w:val="32"/>
          <w:szCs w:val="32"/>
        </w:rPr>
      </w:pPr>
      <w:bookmarkStart w:id="41" w:name="_Toc96431320"/>
      <w:bookmarkEnd w:id="41"/>
      <w:bookmarkStart w:id="42" w:name="_Toc96430639"/>
      <w:bookmarkEnd w:id="42"/>
      <w:bookmarkStart w:id="43" w:name="_Toc96430818"/>
      <w:bookmarkEnd w:id="43"/>
      <w:bookmarkStart w:id="44" w:name="_Toc96430762"/>
      <w:bookmarkEnd w:id="44"/>
      <w:bookmarkStart w:id="45" w:name="_Toc100577301"/>
      <w:r>
        <w:rPr>
          <w:rFonts w:ascii="Times New Roman" w:hAnsi="Times New Roman" w:eastAsia="仿宋" w:cs="Times New Roman"/>
          <w:b/>
          <w:bCs/>
          <w:sz w:val="32"/>
          <w:szCs w:val="32"/>
        </w:rPr>
        <w:t>3. 儿童化妆品产品配方及原料使用要求</w:t>
      </w:r>
      <w:bookmarkEnd w:id="45"/>
    </w:p>
    <w:p>
      <w:pPr>
        <w:snapToGrid w:val="0"/>
        <w:spacing w:line="560" w:lineRule="exact"/>
        <w:ind w:firstLine="643" w:firstLineChars="200"/>
        <w:outlineLvl w:val="1"/>
        <w:rPr>
          <w:rFonts w:ascii="Times New Roman" w:hAnsi="Times New Roman" w:eastAsia="仿宋" w:cs="Times New Roman"/>
          <w:b/>
          <w:bCs/>
          <w:sz w:val="32"/>
          <w:szCs w:val="32"/>
        </w:rPr>
      </w:pPr>
      <w:bookmarkStart w:id="46" w:name="_Toc100577302"/>
      <w:r>
        <w:rPr>
          <w:rFonts w:ascii="Times New Roman" w:hAnsi="Times New Roman" w:eastAsia="仿宋" w:cs="Times New Roman"/>
          <w:b/>
          <w:bCs/>
          <w:sz w:val="32"/>
          <w:szCs w:val="32"/>
        </w:rPr>
        <w:t>3.1</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配方表填报要求</w:t>
      </w:r>
      <w:bookmarkEnd w:id="46"/>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儿童化妆品配方应当符合《化妆品注册备案资料管理规定》要求，配方表应当内容完整，填报形式</w:t>
      </w:r>
      <w:r>
        <w:rPr>
          <w:rFonts w:hint="eastAsia" w:ascii="Times New Roman" w:hAnsi="Times New Roman" w:eastAsia="仿宋_GB2312" w:cs="Times New Roman"/>
          <w:sz w:val="32"/>
          <w:szCs w:val="32"/>
        </w:rPr>
        <w:t>应当</w:t>
      </w:r>
      <w:r>
        <w:rPr>
          <w:rFonts w:ascii="Times New Roman" w:hAnsi="Times New Roman" w:eastAsia="仿宋_GB2312" w:cs="Times New Roman"/>
          <w:sz w:val="32"/>
          <w:szCs w:val="32"/>
        </w:rPr>
        <w:t>符合要求，原料名称应当按照《已使用化妆品原料目录》规范填报原料的中文名称和INCI名称，备注信息完整；原料使用目的的填报应当具体、规范，应当根据原料在产品中实际发挥的主要作用填写，与原料理化性质、产品属性、配方工艺等相符。</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产品配方使用了来源于石油、煤焦油的碳氢化合物（单一组分除外）、着色剂、色淀、与内容物直接接触的推进剂、变性乙醇、类别原料、直接来源于植物等原料的，应当按照《化妆品注册备案资料管理规定》要求标注相应内容。</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配方中使用香精或者具体香料成分的，应当按照《化妆品注册备案资料管理规定》填写并提交资料。</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使用贴、膜类载体材料的，应当在备注栏内注明主要载体材料的材质组成，同时提供其来源、制备工艺、质量控制指标等资料，并符合相关技术要求。</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产品配方中使用动物脏器组织及血液制品提取物作为原料的，应当提供其来源、组成以及制备工艺，并提供原料生产国允许使用的相关文件，不得使用尚未在原料生产国（地区）获准使用的此类原料。</w:t>
      </w:r>
    </w:p>
    <w:p>
      <w:pPr>
        <w:snapToGrid w:val="0"/>
        <w:spacing w:line="560" w:lineRule="exact"/>
        <w:ind w:firstLine="643" w:firstLineChars="200"/>
        <w:outlineLvl w:val="1"/>
        <w:rPr>
          <w:rFonts w:ascii="Times New Roman" w:hAnsi="Times New Roman" w:eastAsia="仿宋" w:cs="Times New Roman"/>
          <w:b/>
          <w:bCs/>
          <w:sz w:val="32"/>
          <w:szCs w:val="32"/>
        </w:rPr>
      </w:pPr>
      <w:bookmarkStart w:id="47" w:name="_Toc100577303"/>
      <w:r>
        <w:rPr>
          <w:rFonts w:ascii="Times New Roman" w:hAnsi="Times New Roman" w:eastAsia="仿宋" w:cs="Times New Roman"/>
          <w:b/>
          <w:bCs/>
          <w:sz w:val="32"/>
          <w:szCs w:val="32"/>
        </w:rPr>
        <w:t>3.2 儿童化妆品配方设计以及原料使用要求</w:t>
      </w:r>
      <w:bookmarkEnd w:id="47"/>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儿童化妆品的配方设计应当遵循安全优先原则、功效必需原则、配方极简原则，其中配方极简原则为相对性原则，并非限制原料种类数量。化妆品注册人、备案人应当在</w:t>
      </w:r>
      <w:r>
        <w:rPr>
          <w:rFonts w:hint="eastAsia" w:ascii="Times New Roman" w:hAnsi="Times New Roman" w:eastAsia="仿宋_GB2312" w:cs="Times New Roman"/>
          <w:sz w:val="32"/>
          <w:szCs w:val="32"/>
        </w:rPr>
        <w:t>产品配方设计时充分考虑上述原则，并在产品</w:t>
      </w:r>
      <w:r>
        <w:rPr>
          <w:rFonts w:ascii="Times New Roman" w:hAnsi="Times New Roman" w:eastAsia="仿宋_GB2312" w:cs="Times New Roman"/>
          <w:sz w:val="32"/>
          <w:szCs w:val="32"/>
        </w:rPr>
        <w:t>安全评估报告的“配方设计原则”中充分体现产品配方的科学合理性。</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应当选用有安全使用历史的化妆品原料，不得使用尚在安全监测中化妆品新原料，不得使用对儿童安全性尚不明确的原料；不允许使用基因技术、纳米技术等新技术制备的原料，如无替代原料必须使用时，应当在产品安全评估资料中说明原因，并针对儿童化妆品使用的安全性进行充分评价。</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及其所用的原料应当符合《化妆品安全技术规范》的相关要求，不得使用《化妆品安全技术规范》等国家强制标准中明确规定禁用于儿童化妆品的原料；不宜使用可能有致癌性风险的原料如甲醛释放体；此外，对使用人群含“婴幼儿”的儿童化妆品，不得使用碘丙炔醇丁基氨甲酸酯（沐浴产品和香波除外）、水杨酸及其盐类（香波除外）、沉积在二氧化钛上的氯化银等原料。</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不允许使用以祛斑美白、祛痘、脱毛、除臭、去屑、防脱发、染发、烫发等为主要目的的原料，如因其他目的使用可能具有上述功效的原料时，应当对使用的必要性及针对儿童化妆品使用的安全性进行评价。</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儿童化妆品的配方研发应当减少配方所用原料的种类，并结合儿童生理特点，从原料的安全、稳定、功能、配伍等方面评估所用原料的科学性和必要性，特别是香精、着色剂、防腐剂以及表面活性剂等原料。</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w:t>
      </w:r>
      <w:r>
        <w:rPr>
          <w:rFonts w:hint="eastAsia" w:ascii="Times New Roman" w:hAnsi="Times New Roman" w:eastAsia="仿宋_GB2312" w:cs="Times New Roman"/>
          <w:sz w:val="32"/>
          <w:szCs w:val="32"/>
        </w:rPr>
        <w:t>配方</w:t>
      </w:r>
      <w:r>
        <w:rPr>
          <w:rFonts w:ascii="Times New Roman" w:hAnsi="Times New Roman" w:eastAsia="仿宋_GB2312" w:cs="Times New Roman"/>
          <w:sz w:val="32"/>
          <w:szCs w:val="32"/>
        </w:rPr>
        <w:t>应当尽可能不用或者少用香精或者香料，不建议使用成分复杂的可能含有26种致敏性组分（详见附表）的原料作为芳香剂。如使用含有26种致敏性组分的香精或者香料，</w:t>
      </w:r>
      <w:r>
        <w:rPr>
          <w:rFonts w:hint="eastAsia" w:ascii="Times New Roman" w:hAnsi="Times New Roman" w:eastAsia="仿宋_GB2312" w:cs="Times New Roman"/>
          <w:sz w:val="32"/>
          <w:szCs w:val="32"/>
        </w:rPr>
        <w:t>应当进行充分安全评估，对</w:t>
      </w:r>
      <w:r>
        <w:rPr>
          <w:rFonts w:ascii="Times New Roman" w:hAnsi="Times New Roman" w:eastAsia="仿宋_GB2312" w:cs="Times New Roman"/>
          <w:sz w:val="32"/>
          <w:szCs w:val="32"/>
        </w:rPr>
        <w:t>致敏性组分含量在驻留类产品中大于等于0.001%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以及在淋洗类产品中大于等于0.01%时，应当在标签上标印以告知消费者。</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儿童化妆品配方应当尽可能不用或者少用着色剂。使用3种以上着色剂时</w:t>
      </w:r>
      <w:r>
        <w:rPr>
          <w:rFonts w:hint="eastAsia" w:ascii="Times New Roman" w:hAnsi="Times New Roman" w:eastAsia="仿宋_GB2312" w:cs="Times New Roman"/>
          <w:sz w:val="32"/>
          <w:szCs w:val="32"/>
        </w:rPr>
        <w:t>（不含3种）</w:t>
      </w:r>
      <w:r>
        <w:rPr>
          <w:rFonts w:ascii="Times New Roman" w:hAnsi="Times New Roman" w:eastAsia="仿宋_GB2312" w:cs="Times New Roman"/>
          <w:sz w:val="32"/>
          <w:szCs w:val="32"/>
        </w:rPr>
        <w:t>，应当说明所用原料</w:t>
      </w:r>
      <w:r>
        <w:rPr>
          <w:rFonts w:hint="eastAsia" w:ascii="Times New Roman" w:hAnsi="Times New Roman" w:eastAsia="仿宋_GB2312" w:cs="Times New Roman"/>
          <w:sz w:val="32"/>
          <w:szCs w:val="32"/>
        </w:rPr>
        <w:t>种类、</w:t>
      </w:r>
      <w:r>
        <w:rPr>
          <w:rFonts w:ascii="Times New Roman" w:hAnsi="Times New Roman" w:eastAsia="仿宋_GB2312" w:cs="Times New Roman"/>
          <w:sz w:val="32"/>
          <w:szCs w:val="32"/>
        </w:rPr>
        <w:t>用量的科学性和必要性，开展相关研究确保产品使用安全，必要时，提交人体试用试验数据作为证据支持。</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应当尽可能少用防腐剂。淋洗类产品的防腐剂用量应当低于《化妆品安全技术规范》的限量要求；驻留类产品的防腐剂用量接近《化妆品安全技术规范》的限量时（如90%以上），或者使用3种以上防腐剂</w:t>
      </w:r>
      <w:r>
        <w:rPr>
          <w:rFonts w:hint="eastAsia" w:ascii="Times New Roman" w:hAnsi="Times New Roman" w:eastAsia="仿宋_GB2312" w:cs="Times New Roman"/>
          <w:sz w:val="32"/>
          <w:szCs w:val="32"/>
        </w:rPr>
        <w:t>（不含3种）</w:t>
      </w:r>
      <w:r>
        <w:rPr>
          <w:rFonts w:ascii="Times New Roman" w:hAnsi="Times New Roman" w:eastAsia="仿宋_GB2312" w:cs="Times New Roman"/>
          <w:sz w:val="32"/>
          <w:szCs w:val="32"/>
        </w:rPr>
        <w:t>时，应当提供相关科学依据以说明所用原料</w:t>
      </w:r>
      <w:r>
        <w:rPr>
          <w:rFonts w:hint="eastAsia" w:ascii="Times New Roman" w:hAnsi="Times New Roman" w:eastAsia="仿宋_GB2312" w:cs="Times New Roman"/>
          <w:sz w:val="32"/>
          <w:szCs w:val="32"/>
        </w:rPr>
        <w:t>种类、</w:t>
      </w:r>
      <w:r>
        <w:rPr>
          <w:rFonts w:ascii="Times New Roman" w:hAnsi="Times New Roman" w:eastAsia="仿宋_GB2312" w:cs="Times New Roman"/>
          <w:sz w:val="32"/>
          <w:szCs w:val="32"/>
        </w:rPr>
        <w:t>用量的</w:t>
      </w:r>
      <w:r>
        <w:rPr>
          <w:rFonts w:hint="eastAsia" w:ascii="Times New Roman" w:hAnsi="Times New Roman" w:eastAsia="仿宋_GB2312" w:cs="Times New Roman"/>
          <w:sz w:val="32"/>
          <w:szCs w:val="32"/>
        </w:rPr>
        <w:t>科学</w:t>
      </w:r>
      <w:r>
        <w:rPr>
          <w:rFonts w:ascii="Times New Roman" w:hAnsi="Times New Roman" w:eastAsia="仿宋_GB2312" w:cs="Times New Roman"/>
          <w:sz w:val="32"/>
          <w:szCs w:val="32"/>
        </w:rPr>
        <w:t>性</w:t>
      </w:r>
      <w:r>
        <w:rPr>
          <w:rFonts w:hint="eastAsia" w:ascii="Times New Roman" w:hAnsi="Times New Roman" w:eastAsia="仿宋_GB2312" w:cs="Times New Roman"/>
          <w:sz w:val="32"/>
          <w:szCs w:val="32"/>
        </w:rPr>
        <w:t>和</w:t>
      </w:r>
      <w:r>
        <w:rPr>
          <w:rFonts w:ascii="Times New Roman" w:hAnsi="Times New Roman" w:eastAsia="仿宋_GB2312" w:cs="Times New Roman"/>
          <w:sz w:val="32"/>
          <w:szCs w:val="32"/>
        </w:rPr>
        <w:t>必要性，必要时，提交配方优化过程的研究数据作为证据支持。</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儿童化妆品应当尽可能少用表面活性剂，特别是阳离子表面活性剂和透皮促进剂等。对于使用诸如阳离子表面活性剂、透皮吸收剂等原料的产品，应当对其使用的</w:t>
      </w:r>
      <w:r>
        <w:rPr>
          <w:rFonts w:hint="eastAsia" w:ascii="Times New Roman" w:hAnsi="Times New Roman" w:eastAsia="仿宋_GB2312" w:cs="Times New Roman"/>
          <w:sz w:val="32"/>
          <w:szCs w:val="32"/>
        </w:rPr>
        <w:t>科学性和</w:t>
      </w:r>
      <w:r>
        <w:rPr>
          <w:rFonts w:ascii="Times New Roman" w:hAnsi="Times New Roman" w:eastAsia="仿宋_GB2312" w:cs="Times New Roman"/>
          <w:sz w:val="32"/>
          <w:szCs w:val="32"/>
        </w:rPr>
        <w:t>必要性进行分析，提供相关的安全性方面的资料。</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对使用人群含 “儿童”（3周岁-12周岁）的化妆品，使用</w:t>
      </w:r>
      <w:r>
        <w:rPr>
          <w:rFonts w:hint="eastAsia" w:ascii="Times New Roman" w:hAnsi="Times New Roman" w:eastAsia="仿宋_GB2312" w:cs="Times New Roman"/>
          <w:sz w:val="32"/>
          <w:szCs w:val="32"/>
        </w:rPr>
        <w:t>限用</w:t>
      </w:r>
      <w:r>
        <w:rPr>
          <w:rFonts w:ascii="Times New Roman" w:hAnsi="Times New Roman" w:eastAsia="仿宋_GB2312" w:cs="Times New Roman"/>
          <w:sz w:val="32"/>
          <w:szCs w:val="32"/>
        </w:rPr>
        <w:t>组分时，应当在标签上标印相应的使用条件和注意事项，例如使用氯化锶，应当标印“儿童不宜常用”；使用滑石:水合硅酸镁，应当标印“应使粉末远离儿童的鼻和口”；使用氢氧化钙、氢氧化锂、碱金属的硫化物类、</w:t>
      </w:r>
      <w:r>
        <w:rPr>
          <w:rFonts w:hint="eastAsia" w:eastAsia="仿宋_GB2312"/>
          <w:spacing w:val="-6"/>
          <w:sz w:val="32"/>
          <w:szCs w:val="32"/>
        </w:rPr>
        <w:t>巯基乙酸及其盐类、巯基乙酸酯类、</w:t>
      </w:r>
      <w:r>
        <w:rPr>
          <w:rFonts w:ascii="Times New Roman" w:hAnsi="Times New Roman" w:eastAsia="仿宋_GB2312" w:cs="Times New Roman"/>
          <w:sz w:val="32"/>
          <w:szCs w:val="32"/>
        </w:rPr>
        <w:t>碱土金属的硫化物类、氢氧化锶、氢氧化钾（或氢氧化钠）等原料，应当在标签上标印“防止儿童抓拿”。</w:t>
      </w:r>
    </w:p>
    <w:p>
      <w:pPr>
        <w:snapToGrid w:val="0"/>
        <w:spacing w:line="560" w:lineRule="exact"/>
        <w:ind w:firstLine="643" w:firstLineChars="200"/>
        <w:outlineLvl w:val="1"/>
        <w:rPr>
          <w:rFonts w:ascii="Times New Roman" w:hAnsi="Times New Roman" w:eastAsia="仿宋" w:cs="Times New Roman"/>
          <w:b/>
          <w:bCs/>
          <w:sz w:val="32"/>
          <w:szCs w:val="32"/>
        </w:rPr>
      </w:pPr>
      <w:bookmarkStart w:id="48" w:name="_Toc100577304"/>
      <w:r>
        <w:rPr>
          <w:rFonts w:ascii="Times New Roman" w:hAnsi="Times New Roman" w:eastAsia="仿宋" w:cs="Times New Roman"/>
          <w:b/>
          <w:bCs/>
          <w:sz w:val="32"/>
          <w:szCs w:val="32"/>
        </w:rPr>
        <w:t>3.3</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防晒类儿童化妆品的原料使用要求</w:t>
      </w:r>
      <w:bookmarkEnd w:id="48"/>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申报类别为“防晒类”的儿童化妆品，除满足上述</w:t>
      </w:r>
      <w:r>
        <w:rPr>
          <w:rFonts w:hint="eastAsia" w:ascii="Times New Roman" w:hAnsi="Times New Roman" w:eastAsia="仿宋_GB2312" w:cs="Times New Roman"/>
          <w:sz w:val="32"/>
          <w:szCs w:val="32"/>
        </w:rPr>
        <w:t>第</w:t>
      </w:r>
      <w:r>
        <w:rPr>
          <w:rFonts w:ascii="Times New Roman" w:hAnsi="Times New Roman" w:eastAsia="仿宋_GB2312" w:cs="Times New Roman"/>
          <w:sz w:val="32"/>
          <w:szCs w:val="32"/>
        </w:rPr>
        <w:t>3.1</w:t>
      </w:r>
      <w:r>
        <w:rPr>
          <w:rFonts w:hint="eastAsia" w:ascii="Times New Roman" w:hAnsi="Times New Roman" w:eastAsia="仿宋_GB2312" w:cs="Times New Roman"/>
          <w:sz w:val="32"/>
          <w:szCs w:val="32"/>
        </w:rPr>
        <w:t>部分、第</w:t>
      </w:r>
      <w:r>
        <w:rPr>
          <w:rFonts w:ascii="Times New Roman" w:hAnsi="Times New Roman" w:eastAsia="仿宋_GB2312" w:cs="Times New Roman"/>
          <w:sz w:val="32"/>
          <w:szCs w:val="32"/>
        </w:rPr>
        <w:t>3.2</w:t>
      </w:r>
      <w:r>
        <w:rPr>
          <w:rFonts w:hint="eastAsia" w:ascii="Times New Roman" w:hAnsi="Times New Roman" w:eastAsia="仿宋_GB2312" w:cs="Times New Roman"/>
          <w:sz w:val="32"/>
          <w:szCs w:val="32"/>
        </w:rPr>
        <w:t>部分的</w:t>
      </w:r>
      <w:r>
        <w:rPr>
          <w:rFonts w:ascii="Times New Roman" w:hAnsi="Times New Roman" w:eastAsia="仿宋_GB2312" w:cs="Times New Roman"/>
          <w:sz w:val="32"/>
          <w:szCs w:val="32"/>
        </w:rPr>
        <w:t>要求外，还应当符合防晒类化妆品的要求，必须经过SPF值测定并且结果</w:t>
      </w:r>
      <w:r>
        <w:rPr>
          <w:rFonts w:hint="eastAsia" w:ascii="Times New Roman" w:hAnsi="Times New Roman" w:eastAsia="仿宋_GB2312" w:cs="Times New Roman"/>
          <w:sz w:val="32"/>
          <w:szCs w:val="32"/>
        </w:rPr>
        <w:t>应当大于等于</w:t>
      </w:r>
      <w:r>
        <w:rPr>
          <w:rFonts w:ascii="Times New Roman" w:hAnsi="Times New Roman" w:eastAsia="仿宋_GB2312" w:cs="Times New Roman"/>
          <w:sz w:val="32"/>
          <w:szCs w:val="32"/>
        </w:rPr>
        <w:t>2，产品配方中应当填报有明确的防晒剂。</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防晒类儿童化妆品的配方设计应当兼顾安全性以及防晒效果，</w:t>
      </w:r>
      <w:r>
        <w:rPr>
          <w:rFonts w:hint="eastAsia" w:ascii="Times New Roman" w:hAnsi="Times New Roman" w:eastAsia="仿宋_GB2312" w:cs="Times New Roman"/>
          <w:sz w:val="32"/>
          <w:szCs w:val="32"/>
        </w:rPr>
        <w:t>必要时进行获益</w:t>
      </w:r>
      <w:r>
        <w:rPr>
          <w:rFonts w:ascii="Times New Roman" w:hAnsi="Times New Roman" w:eastAsia="仿宋_GB2312" w:cs="Times New Roman"/>
          <w:sz w:val="32"/>
          <w:szCs w:val="32"/>
        </w:rPr>
        <w:t>风险</w:t>
      </w:r>
      <w:r>
        <w:rPr>
          <w:rFonts w:hint="eastAsia" w:ascii="Times New Roman" w:hAnsi="Times New Roman" w:eastAsia="仿宋_GB2312" w:cs="Times New Roman"/>
          <w:sz w:val="32"/>
          <w:szCs w:val="32"/>
        </w:rPr>
        <w:t>分析</w:t>
      </w:r>
      <w:r>
        <w:rPr>
          <w:rFonts w:ascii="Times New Roman" w:hAnsi="Times New Roman" w:eastAsia="仿宋_GB2312" w:cs="Times New Roman"/>
          <w:sz w:val="32"/>
          <w:szCs w:val="32"/>
        </w:rPr>
        <w:t>。原则上化学防晒剂种类不</w:t>
      </w:r>
      <w:r>
        <w:rPr>
          <w:rFonts w:hint="eastAsia" w:ascii="Times New Roman" w:hAnsi="Times New Roman" w:eastAsia="仿宋_GB2312" w:cs="Times New Roman"/>
          <w:sz w:val="32"/>
          <w:szCs w:val="32"/>
        </w:rPr>
        <w:t>得</w:t>
      </w:r>
      <w:r>
        <w:rPr>
          <w:rFonts w:ascii="Times New Roman" w:hAnsi="Times New Roman" w:eastAsia="仿宋_GB2312" w:cs="Times New Roman"/>
          <w:sz w:val="32"/>
          <w:szCs w:val="32"/>
        </w:rPr>
        <w:t>多于3种</w:t>
      </w:r>
      <w:r>
        <w:rPr>
          <w:rFonts w:hint="eastAsia" w:ascii="Times New Roman" w:hAnsi="Times New Roman" w:eastAsia="仿宋_GB2312" w:cs="Times New Roman"/>
          <w:sz w:val="32"/>
          <w:szCs w:val="32"/>
        </w:rPr>
        <w:t>（不含3种）</w:t>
      </w:r>
      <w:r>
        <w:rPr>
          <w:rFonts w:ascii="Times New Roman" w:hAnsi="Times New Roman" w:eastAsia="仿宋_GB2312" w:cs="Times New Roman"/>
          <w:sz w:val="32"/>
          <w:szCs w:val="32"/>
        </w:rPr>
        <w:t>且使用量应当低于成人用量，二氧化钛、氧化锌同时作为防晒剂或其他目的使用时，其总使用量不得超过25%，</w:t>
      </w:r>
      <w:r>
        <w:rPr>
          <w:rFonts w:hint="eastAsia" w:ascii="Times New Roman" w:hAnsi="Times New Roman" w:eastAsia="仿宋_GB2312" w:cs="Times New Roman"/>
          <w:sz w:val="32"/>
          <w:szCs w:val="32"/>
        </w:rPr>
        <w:t>且</w:t>
      </w:r>
      <w:r>
        <w:rPr>
          <w:rFonts w:ascii="Times New Roman" w:hAnsi="Times New Roman" w:eastAsia="仿宋_GB2312" w:cs="Times New Roman"/>
          <w:sz w:val="32"/>
          <w:szCs w:val="32"/>
        </w:rPr>
        <w:t>SPF值不宜高于30。使用3种以上化学防晒剂的、防晒剂配方使用量与成人相似并且SPF值高于30的，应当充分证实原料使用量的科学性和必要性，必要时，提交配方优化过程的研究数据作为证据支持。</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防晒类儿童化妆品含有与内容物直接接触的推进剂的，应当在配方备注栏中标明推进剂的种类、添加量等。推进剂应当符合化妆品原料管理相关法律法规和技术标准要求，其具体使用（如杂质和质量控制等）应当符合《化妆品安全技术规范》相关要求。按照《化妆品安全技术规范》等相关要求，对所用原料有最大允许使用浓度等限制要求的，应当确保该原料在除推进剂外的配方中的使用量符合该限值要求。</w:t>
      </w:r>
    </w:p>
    <w:p>
      <w:pPr>
        <w:snapToGrid w:val="0"/>
        <w:spacing w:line="560" w:lineRule="exact"/>
        <w:ind w:firstLine="643" w:firstLineChars="200"/>
        <w:outlineLvl w:val="1"/>
        <w:rPr>
          <w:rFonts w:ascii="Times New Roman" w:hAnsi="Times New Roman" w:eastAsia="仿宋" w:cs="Times New Roman"/>
          <w:b/>
          <w:bCs/>
          <w:sz w:val="32"/>
          <w:szCs w:val="32"/>
        </w:rPr>
      </w:pPr>
      <w:bookmarkStart w:id="49" w:name="_Toc100577305"/>
      <w:r>
        <w:rPr>
          <w:rFonts w:ascii="Times New Roman" w:hAnsi="Times New Roman" w:eastAsia="仿宋" w:cs="Times New Roman"/>
          <w:b/>
          <w:bCs/>
          <w:sz w:val="32"/>
          <w:szCs w:val="32"/>
        </w:rPr>
        <w:t>3.4</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原料质量安全信息文件要求</w:t>
      </w:r>
      <w:bookmarkEnd w:id="49"/>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化妆品注册人、备案人或者境内责任人可自行填报上传、或</w:t>
      </w:r>
      <w:r>
        <w:rPr>
          <w:rFonts w:hint="eastAsia" w:ascii="Times New Roman" w:hAnsi="Times New Roman" w:eastAsia="仿宋_GB2312" w:cs="Times New Roman"/>
          <w:sz w:val="32"/>
          <w:szCs w:val="32"/>
        </w:rPr>
        <w:t>者</w:t>
      </w:r>
      <w:r>
        <w:rPr>
          <w:rFonts w:ascii="Times New Roman" w:hAnsi="Times New Roman" w:eastAsia="仿宋_GB2312" w:cs="Times New Roman"/>
          <w:sz w:val="32"/>
          <w:szCs w:val="32"/>
        </w:rPr>
        <w:t>通过原料报送码由化妆品原料安全信息报送平台关联获得原料质量安全信息文件，原料质量安全信息文件应当体现原料基本信息、</w:t>
      </w:r>
      <w:r>
        <w:rPr>
          <w:rFonts w:hint="eastAsia" w:ascii="Times New Roman" w:hAnsi="Times New Roman" w:eastAsia="仿宋_GB2312" w:cs="Times New Roman"/>
          <w:sz w:val="32"/>
          <w:szCs w:val="32"/>
        </w:rPr>
        <w:t>质量</w:t>
      </w:r>
      <w:r>
        <w:rPr>
          <w:rFonts w:ascii="Times New Roman" w:hAnsi="Times New Roman" w:eastAsia="仿宋_GB2312" w:cs="Times New Roman"/>
          <w:sz w:val="32"/>
          <w:szCs w:val="32"/>
        </w:rPr>
        <w:t>控制</w:t>
      </w:r>
      <w:r>
        <w:rPr>
          <w:rFonts w:hint="eastAsia" w:ascii="Times New Roman" w:hAnsi="Times New Roman" w:eastAsia="仿宋_GB2312" w:cs="Times New Roman"/>
          <w:sz w:val="32"/>
          <w:szCs w:val="32"/>
        </w:rPr>
        <w:t>要求</w:t>
      </w:r>
      <w:r>
        <w:rPr>
          <w:rFonts w:ascii="Times New Roman" w:hAnsi="Times New Roman" w:eastAsia="仿宋_GB2312" w:cs="Times New Roman"/>
          <w:sz w:val="32"/>
          <w:szCs w:val="32"/>
        </w:rPr>
        <w:t>和风险</w:t>
      </w:r>
      <w:r>
        <w:rPr>
          <w:rFonts w:hint="eastAsia" w:ascii="Times New Roman" w:hAnsi="Times New Roman" w:eastAsia="仿宋_GB2312" w:cs="Times New Roman"/>
          <w:sz w:val="32"/>
          <w:szCs w:val="32"/>
        </w:rPr>
        <w:t>物质限量要求</w:t>
      </w:r>
      <w:r>
        <w:rPr>
          <w:rFonts w:ascii="Times New Roman" w:hAnsi="Times New Roman" w:eastAsia="仿宋_GB2312" w:cs="Times New Roman"/>
          <w:sz w:val="32"/>
          <w:szCs w:val="32"/>
        </w:rPr>
        <w:t>等</w:t>
      </w:r>
      <w:r>
        <w:rPr>
          <w:rFonts w:hint="eastAsia" w:ascii="Times New Roman" w:hAnsi="Times New Roman" w:eastAsia="仿宋_GB2312" w:cs="Times New Roman"/>
          <w:sz w:val="32"/>
          <w:szCs w:val="32"/>
        </w:rPr>
        <w:t>内容</w:t>
      </w:r>
      <w:r>
        <w:rPr>
          <w:rFonts w:ascii="Times New Roman" w:hAnsi="Times New Roman" w:eastAsia="仿宋_GB2312" w:cs="Times New Roman"/>
          <w:sz w:val="32"/>
          <w:szCs w:val="32"/>
        </w:rPr>
        <w:t>，质量稳定</w:t>
      </w:r>
      <w:r>
        <w:rPr>
          <w:rFonts w:hint="eastAsia" w:ascii="Times New Roman" w:hAnsi="Times New Roman" w:eastAsia="仿宋_GB2312" w:cs="Times New Roman"/>
          <w:sz w:val="32"/>
          <w:szCs w:val="32"/>
        </w:rPr>
        <w:t>可控，并且</w:t>
      </w:r>
      <w:r>
        <w:rPr>
          <w:rFonts w:ascii="Times New Roman" w:hAnsi="Times New Roman" w:eastAsia="仿宋_GB2312" w:cs="Times New Roman"/>
          <w:sz w:val="32"/>
          <w:szCs w:val="32"/>
        </w:rPr>
        <w:t>符合相关法律法规和技术标准</w:t>
      </w:r>
      <w:r>
        <w:rPr>
          <w:rFonts w:hint="eastAsia" w:ascii="Times New Roman" w:hAnsi="Times New Roman" w:eastAsia="仿宋_GB2312" w:cs="Times New Roman"/>
          <w:sz w:val="32"/>
          <w:szCs w:val="32"/>
        </w:rPr>
        <w:t>要求</w:t>
      </w:r>
      <w:r>
        <w:rPr>
          <w:rFonts w:ascii="Times New Roman" w:hAnsi="Times New Roman" w:eastAsia="仿宋_GB2312" w:cs="Times New Roman"/>
          <w:sz w:val="32"/>
          <w:szCs w:val="32"/>
        </w:rPr>
        <w:t>。在《化妆品安全技术规范》</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相关法律法规和技术标准中，对原料的技术标准或质量规格等有明确要求的，应当符合相关技术要求。</w:t>
      </w:r>
    </w:p>
    <w:p>
      <w:pPr>
        <w:snapToGrid w:val="0"/>
        <w:spacing w:line="560" w:lineRule="exact"/>
        <w:ind w:left="643"/>
        <w:outlineLvl w:val="0"/>
        <w:rPr>
          <w:rFonts w:ascii="Times New Roman" w:hAnsi="Times New Roman" w:eastAsia="仿宋" w:cs="Times New Roman"/>
          <w:b/>
          <w:bCs/>
          <w:sz w:val="32"/>
          <w:szCs w:val="32"/>
        </w:rPr>
      </w:pPr>
      <w:bookmarkStart w:id="50" w:name="_Toc100577306"/>
      <w:r>
        <w:rPr>
          <w:rFonts w:ascii="Times New Roman" w:hAnsi="Times New Roman" w:eastAsia="仿宋" w:cs="Times New Roman"/>
          <w:b/>
          <w:bCs/>
          <w:sz w:val="32"/>
          <w:szCs w:val="32"/>
        </w:rPr>
        <w:t>4. 儿童化妆品产品执行的标准要求</w:t>
      </w:r>
      <w:bookmarkEnd w:id="50"/>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儿童化妆品</w:t>
      </w:r>
      <w:r>
        <w:rPr>
          <w:rFonts w:ascii="Times New Roman" w:hAnsi="Times New Roman" w:eastAsia="仿宋_GB2312" w:cs="Times New Roman"/>
          <w:sz w:val="32"/>
          <w:szCs w:val="32"/>
        </w:rPr>
        <w:t>产品执行的标准应当按照《化妆品注册备案资料管理规定》要求填写。</w:t>
      </w:r>
    </w:p>
    <w:p>
      <w:pPr>
        <w:snapToGrid w:val="0"/>
        <w:spacing w:line="560" w:lineRule="exact"/>
        <w:ind w:firstLine="643" w:firstLineChars="200"/>
        <w:outlineLvl w:val="1"/>
        <w:rPr>
          <w:rFonts w:ascii="Times New Roman" w:hAnsi="Times New Roman" w:eastAsia="仿宋" w:cs="Times New Roman"/>
          <w:b/>
          <w:bCs/>
          <w:sz w:val="32"/>
          <w:szCs w:val="32"/>
        </w:rPr>
      </w:pPr>
      <w:bookmarkStart w:id="51" w:name="_Toc100577307"/>
      <w:bookmarkStart w:id="52" w:name="_Toc86323838"/>
      <w:r>
        <w:rPr>
          <w:rFonts w:ascii="Times New Roman" w:hAnsi="Times New Roman" w:eastAsia="仿宋" w:cs="Times New Roman"/>
          <w:b/>
          <w:bCs/>
          <w:sz w:val="32"/>
          <w:szCs w:val="32"/>
        </w:rPr>
        <w:t>4.1 生产工艺简述要求</w:t>
      </w:r>
      <w:bookmarkEnd w:id="51"/>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生产工艺简述应当完整、合理，所用原料名称应当与产品配方一致；应当与原料基本属性、产品剂型等相符，无明显错误或者矛盾；应当提供主要工艺参数范围如温度等，对在生产过程中可能产生风险物质的，应当进行充分安全评估。</w:t>
      </w:r>
    </w:p>
    <w:p>
      <w:pPr>
        <w:snapToGrid w:val="0"/>
        <w:spacing w:line="560" w:lineRule="exact"/>
        <w:ind w:firstLine="643" w:firstLineChars="200"/>
        <w:outlineLvl w:val="1"/>
        <w:rPr>
          <w:rFonts w:ascii="Times New Roman" w:hAnsi="Times New Roman" w:eastAsia="仿宋" w:cs="Times New Roman"/>
          <w:b/>
          <w:bCs/>
          <w:sz w:val="32"/>
          <w:szCs w:val="32"/>
        </w:rPr>
      </w:pPr>
      <w:bookmarkStart w:id="53" w:name="_Toc100577308"/>
      <w:r>
        <w:rPr>
          <w:rFonts w:ascii="Times New Roman" w:hAnsi="Times New Roman" w:eastAsia="仿宋" w:cs="Times New Roman"/>
          <w:b/>
          <w:bCs/>
          <w:sz w:val="32"/>
          <w:szCs w:val="32"/>
        </w:rPr>
        <w:t>4.2 感官指标要求</w:t>
      </w:r>
      <w:bookmarkEnd w:id="53"/>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儿童化妆品感官指标</w:t>
      </w:r>
      <w:r>
        <w:rPr>
          <w:rFonts w:ascii="Times New Roman" w:hAnsi="Times New Roman" w:eastAsia="仿宋_GB2312" w:cs="Times New Roman"/>
          <w:sz w:val="32"/>
          <w:szCs w:val="32"/>
        </w:rPr>
        <w:t>应当与产品配方相符；配方中含香精或者具体香料成分，应当描述为有香味或者有原料特征性气味。</w:t>
      </w:r>
    </w:p>
    <w:p>
      <w:pPr>
        <w:snapToGrid w:val="0"/>
        <w:spacing w:line="560" w:lineRule="exact"/>
        <w:ind w:firstLine="643" w:firstLineChars="200"/>
        <w:outlineLvl w:val="1"/>
        <w:rPr>
          <w:rFonts w:ascii="Times New Roman" w:hAnsi="Times New Roman" w:eastAsia="仿宋" w:cs="Times New Roman"/>
          <w:b/>
          <w:bCs/>
          <w:sz w:val="32"/>
          <w:szCs w:val="32"/>
        </w:rPr>
      </w:pPr>
      <w:bookmarkStart w:id="54" w:name="_Toc100577309"/>
      <w:r>
        <w:rPr>
          <w:rFonts w:ascii="Times New Roman" w:hAnsi="Times New Roman" w:eastAsia="仿宋" w:cs="Times New Roman"/>
          <w:b/>
          <w:bCs/>
          <w:sz w:val="32"/>
          <w:szCs w:val="32"/>
        </w:rPr>
        <w:t>4.3</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微生物和理化指标及质量控制措施要求</w:t>
      </w:r>
      <w:bookmarkEnd w:id="54"/>
    </w:p>
    <w:p>
      <w:pPr>
        <w:snapToGrid w:val="0"/>
        <w:spacing w:line="560" w:lineRule="exact"/>
        <w:ind w:firstLine="643" w:firstLineChars="200"/>
        <w:outlineLvl w:val="1"/>
        <w:rPr>
          <w:rFonts w:ascii="Times New Roman" w:hAnsi="Times New Roman" w:eastAsia="仿宋" w:cs="Times New Roman"/>
          <w:b/>
          <w:bCs/>
          <w:sz w:val="32"/>
          <w:szCs w:val="32"/>
        </w:rPr>
      </w:pPr>
      <w:bookmarkStart w:id="55" w:name="_Toc100577310"/>
      <w:r>
        <w:rPr>
          <w:rFonts w:ascii="Times New Roman" w:hAnsi="Times New Roman" w:eastAsia="仿宋" w:cs="Times New Roman"/>
          <w:b/>
          <w:bCs/>
          <w:sz w:val="32"/>
          <w:szCs w:val="32"/>
        </w:rPr>
        <w:t>4.3.1 微生物和理化指标</w:t>
      </w:r>
      <w:bookmarkEnd w:id="55"/>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儿童化妆品的微生物和理化指标应当符合《化妆品安全技术规范》《化妆品注册和备案检验工作规范》等相关法律法规和技术标准要求，应当能够表征该产品的</w:t>
      </w:r>
      <w:r>
        <w:rPr>
          <w:rFonts w:hint="eastAsia" w:ascii="Times New Roman" w:hAnsi="Times New Roman" w:eastAsia="仿宋_GB2312" w:cs="Times New Roman"/>
          <w:sz w:val="32"/>
          <w:szCs w:val="32"/>
        </w:rPr>
        <w:t>安全性和</w:t>
      </w:r>
      <w:r>
        <w:rPr>
          <w:rFonts w:ascii="Times New Roman" w:hAnsi="Times New Roman" w:eastAsia="仿宋_GB2312" w:cs="Times New Roman"/>
          <w:sz w:val="32"/>
          <w:szCs w:val="32"/>
        </w:rPr>
        <w:t>质量可控性；微生物指标中菌落总数不得大于500CFU/mL或500CFU/g，理化指标中有害物质的指标限值必须符合《化妆品安全技术规范》的要求；理化指标中限用组分、准用组分的控制指标在满足《化妆品安全技术规范》要求的基础上，应当控制在配方填报量合理误差范围内（一般不超过±20%），如超过合理范围，应当提供充分的依据说明产品工艺的稳定性和质量的可控性。</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微生物和理化指标还应当考虑不同年龄范围儿童皮肤的生理特点以及使用方式，设定科学、合理的指标范围，鼓励针对儿童化妆品制定严于强制性国家标准、技术规范的产品执行的标准。原则上，儿童化妆品应当设置pH值范围（无法测定pH值的剂型除外），pH</w:t>
      </w:r>
      <w:r>
        <w:rPr>
          <w:rFonts w:hint="eastAsia" w:ascii="Times New Roman" w:hAnsi="Times New Roman" w:eastAsia="仿宋_GB2312" w:cs="Times New Roman"/>
          <w:sz w:val="32"/>
          <w:szCs w:val="32"/>
        </w:rPr>
        <w:t>值</w:t>
      </w:r>
      <w:r>
        <w:rPr>
          <w:rFonts w:ascii="Times New Roman" w:hAnsi="Times New Roman" w:eastAsia="仿宋_GB2312" w:cs="Times New Roman"/>
          <w:sz w:val="32"/>
          <w:szCs w:val="32"/>
        </w:rPr>
        <w:t>范围应当在4.5~7.0（含4.5以及7.0）；若考虑特定使用部位的生理特点（如婴幼儿尿布区）以及产品属性（如清洁类），以及考虑原料稳定性，pH值</w:t>
      </w:r>
      <w:r>
        <w:rPr>
          <w:rFonts w:hint="eastAsia" w:ascii="Times New Roman" w:hAnsi="Times New Roman" w:eastAsia="仿宋_GB2312" w:cs="Times New Roman"/>
          <w:sz w:val="32"/>
          <w:szCs w:val="32"/>
        </w:rPr>
        <w:t>范围</w:t>
      </w:r>
      <w:r>
        <w:rPr>
          <w:rFonts w:ascii="Times New Roman" w:hAnsi="Times New Roman" w:eastAsia="仿宋_GB2312" w:cs="Times New Roman"/>
          <w:sz w:val="32"/>
          <w:szCs w:val="32"/>
        </w:rPr>
        <w:t>大于7.0且小于</w:t>
      </w:r>
      <w:r>
        <w:rPr>
          <w:rFonts w:hint="eastAsia" w:ascii="Times New Roman" w:hAnsi="Times New Roman" w:eastAsia="仿宋_GB2312" w:cs="Times New Roman"/>
          <w:sz w:val="32"/>
          <w:szCs w:val="32"/>
        </w:rPr>
        <w:t>等于</w:t>
      </w:r>
      <w:r>
        <w:rPr>
          <w:rFonts w:ascii="Times New Roman" w:hAnsi="Times New Roman" w:eastAsia="仿宋_GB2312" w:cs="Times New Roman"/>
          <w:sz w:val="32"/>
          <w:szCs w:val="32"/>
        </w:rPr>
        <w:t>9.0的，应当提供科学合理解释，并进行充分安全评估。</w:t>
      </w:r>
    </w:p>
    <w:p>
      <w:pPr>
        <w:snapToGrid w:val="0"/>
        <w:spacing w:line="560" w:lineRule="exact"/>
        <w:ind w:firstLine="643" w:firstLineChars="200"/>
        <w:outlineLvl w:val="1"/>
        <w:rPr>
          <w:rFonts w:ascii="Times New Roman" w:hAnsi="Times New Roman" w:eastAsia="仿宋" w:cs="Times New Roman"/>
          <w:b/>
          <w:bCs/>
          <w:sz w:val="32"/>
          <w:szCs w:val="32"/>
        </w:rPr>
      </w:pPr>
      <w:bookmarkStart w:id="56" w:name="_Toc100577311"/>
      <w:r>
        <w:rPr>
          <w:rFonts w:ascii="Times New Roman" w:hAnsi="Times New Roman" w:eastAsia="仿宋" w:cs="Times New Roman"/>
          <w:b/>
          <w:bCs/>
          <w:sz w:val="32"/>
          <w:szCs w:val="32"/>
        </w:rPr>
        <w:t>4.3.2 质量控制措施</w:t>
      </w:r>
      <w:bookmarkEnd w:id="56"/>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质量控制措施应当根据各项指标实际控制情况制定，并在简要说明中进一步阐述具体的实施方案，以确保最终产品符合《化妆品安全技术规范》等相关法律法规和技术标准要求。同一项目的质量控制措施和简要说明应当科学、合理，并且应当具有对应关系。</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质量控制措施可以采用检验方式，也可以采用非检验方式，可接受的质量控制措施包括但不限于：产品逐批检验、全项检验、原料相关指标控制、生产工艺流程管控等等。采用检验方式作为质量控制措施的，应当正确填写检验方法的具体名称，并注明</w:t>
      </w:r>
      <w:r>
        <w:rPr>
          <w:rFonts w:hint="eastAsia" w:ascii="Times New Roman" w:hAnsi="Times New Roman" w:eastAsia="仿宋_GB2312" w:cs="Times New Roman"/>
          <w:sz w:val="32"/>
          <w:szCs w:val="32"/>
        </w:rPr>
        <w:t>合理的</w:t>
      </w:r>
      <w:r>
        <w:rPr>
          <w:rFonts w:ascii="Times New Roman" w:hAnsi="Times New Roman" w:eastAsia="仿宋_GB2312" w:cs="Times New Roman"/>
          <w:sz w:val="32"/>
          <w:szCs w:val="32"/>
        </w:rPr>
        <w:t>检验频次；采用《化妆品安全技术规范》以外的检验方法开展质量控制的，还</w:t>
      </w:r>
      <w:r>
        <w:rPr>
          <w:rFonts w:hint="eastAsia" w:ascii="Times New Roman" w:hAnsi="Times New Roman" w:eastAsia="仿宋_GB2312" w:cs="Times New Roman"/>
          <w:sz w:val="32"/>
          <w:szCs w:val="32"/>
        </w:rPr>
        <w:t>应当</w:t>
      </w:r>
      <w:r>
        <w:rPr>
          <w:rFonts w:ascii="Times New Roman" w:hAnsi="Times New Roman" w:eastAsia="仿宋_GB2312" w:cs="Times New Roman"/>
          <w:sz w:val="32"/>
          <w:szCs w:val="32"/>
        </w:rPr>
        <w:t>说明该方法是否与《化妆品安全技术规范》所载具体检验方法开展过验证，验证结果是否符合要求。</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的质量控制措施应当体现儿童化妆品生产质量管理规范的要求，例如针对儿童化妆品是否有特别的生产厂房和设备要求，对杂质、微生物风险是否有特别的质量控制措施等。儿童化妆品应当严格执行物料进货查验记录制度，对原料、直接接触化妆品的包装材料</w:t>
      </w:r>
      <w:r>
        <w:rPr>
          <w:rFonts w:hint="eastAsia" w:ascii="Times New Roman" w:hAnsi="Times New Roman" w:eastAsia="仿宋_GB2312" w:cs="Times New Roman"/>
          <w:sz w:val="32"/>
          <w:szCs w:val="32"/>
        </w:rPr>
        <w:t>以及贴、膜类载体材料</w:t>
      </w:r>
      <w:r>
        <w:rPr>
          <w:rFonts w:ascii="Times New Roman" w:hAnsi="Times New Roman" w:eastAsia="仿宋_GB2312" w:cs="Times New Roman"/>
          <w:sz w:val="32"/>
          <w:szCs w:val="32"/>
        </w:rPr>
        <w:t>进行评估，以避免带入禁用原料或者可能危害人体健康的物质，如激素、抗感染类药物等，必要时，在质量控制措施中设置相关项目的检验。</w:t>
      </w:r>
    </w:p>
    <w:p>
      <w:pPr>
        <w:snapToGrid w:val="0"/>
        <w:spacing w:line="560" w:lineRule="exact"/>
        <w:ind w:firstLine="643" w:firstLineChars="200"/>
        <w:outlineLvl w:val="1"/>
        <w:rPr>
          <w:rFonts w:ascii="Times New Roman" w:hAnsi="Times New Roman" w:eastAsia="仿宋" w:cs="Times New Roman"/>
          <w:b/>
          <w:bCs/>
          <w:sz w:val="32"/>
          <w:szCs w:val="32"/>
        </w:rPr>
      </w:pPr>
      <w:bookmarkStart w:id="57" w:name="_Toc100577312"/>
      <w:r>
        <w:rPr>
          <w:rFonts w:ascii="Times New Roman" w:hAnsi="Times New Roman" w:eastAsia="仿宋" w:cs="Times New Roman"/>
          <w:b/>
          <w:bCs/>
          <w:sz w:val="32"/>
          <w:szCs w:val="32"/>
        </w:rPr>
        <w:t>4.4 使用方法</w:t>
      </w:r>
      <w:bookmarkEnd w:id="52"/>
      <w:r>
        <w:rPr>
          <w:rFonts w:ascii="Times New Roman" w:hAnsi="Times New Roman" w:eastAsia="仿宋" w:cs="Times New Roman"/>
          <w:b/>
          <w:bCs/>
          <w:sz w:val="32"/>
          <w:szCs w:val="32"/>
        </w:rPr>
        <w:t>要求</w:t>
      </w:r>
      <w:bookmarkEnd w:id="57"/>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儿童化妆品</w:t>
      </w:r>
      <w:r>
        <w:rPr>
          <w:rFonts w:ascii="Times New Roman" w:hAnsi="Times New Roman" w:eastAsia="仿宋_GB2312" w:cs="Times New Roman"/>
          <w:sz w:val="32"/>
          <w:szCs w:val="32"/>
        </w:rPr>
        <w:t>应当有明确的使用方法，确保消费者</w:t>
      </w:r>
      <w:r>
        <w:rPr>
          <w:rFonts w:hint="eastAsia" w:ascii="Times New Roman" w:hAnsi="Times New Roman" w:eastAsia="仿宋_GB2312" w:cs="Times New Roman"/>
          <w:sz w:val="32"/>
          <w:szCs w:val="32"/>
        </w:rPr>
        <w:t>能够</w:t>
      </w:r>
      <w:r>
        <w:rPr>
          <w:rFonts w:ascii="Times New Roman" w:hAnsi="Times New Roman" w:eastAsia="仿宋_GB2312" w:cs="Times New Roman"/>
          <w:sz w:val="32"/>
          <w:szCs w:val="32"/>
        </w:rPr>
        <w:t>按照使用方法正确使用。对使用人群有特殊要求的，应当明确使用年龄范围，并且与产品分类编码中使用人群一致；对使用部位有特殊要求的，应当明确产品具体使用部位，并且与产品分类编码中使用部位一致。</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分类编码功效宣称为“防晒”的，应当确保消费者能够按照使用方法正确使用，达到预期的防晒效果，例如在使用方法中</w:t>
      </w:r>
      <w:r>
        <w:rPr>
          <w:rFonts w:hint="eastAsia" w:ascii="Times New Roman" w:hAnsi="Times New Roman" w:eastAsia="仿宋_GB2312" w:cs="Times New Roman"/>
          <w:sz w:val="32"/>
          <w:szCs w:val="32"/>
        </w:rPr>
        <w:t>应当</w:t>
      </w:r>
      <w:r>
        <w:rPr>
          <w:rFonts w:ascii="Times New Roman" w:hAnsi="Times New Roman" w:eastAsia="仿宋_GB2312" w:cs="Times New Roman"/>
          <w:sz w:val="32"/>
          <w:szCs w:val="32"/>
        </w:rPr>
        <w:t>明确使用量、需要提前</w:t>
      </w:r>
      <w:r>
        <w:rPr>
          <w:rFonts w:hint="eastAsia" w:ascii="Times New Roman" w:hAnsi="Times New Roman" w:eastAsia="仿宋_GB2312" w:cs="Times New Roman"/>
          <w:sz w:val="32"/>
          <w:szCs w:val="32"/>
        </w:rPr>
        <w:t>使</w:t>
      </w:r>
      <w:r>
        <w:rPr>
          <w:rFonts w:ascii="Times New Roman" w:hAnsi="Times New Roman" w:eastAsia="仿宋_GB2312" w:cs="Times New Roman"/>
          <w:sz w:val="32"/>
          <w:szCs w:val="32"/>
        </w:rPr>
        <w:t>用的时间、补涂等</w:t>
      </w:r>
      <w:r>
        <w:rPr>
          <w:rFonts w:hint="eastAsia" w:ascii="Times New Roman" w:hAnsi="Times New Roman" w:eastAsia="仿宋_GB2312" w:cs="Times New Roman"/>
          <w:sz w:val="32"/>
          <w:szCs w:val="32"/>
        </w:rPr>
        <w:t>相关</w:t>
      </w:r>
      <w:r>
        <w:rPr>
          <w:rFonts w:ascii="Times New Roman" w:hAnsi="Times New Roman" w:eastAsia="仿宋_GB2312" w:cs="Times New Roman"/>
          <w:sz w:val="32"/>
          <w:szCs w:val="32"/>
        </w:rPr>
        <w:t>建议，内容应当科学</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合理。不建议对儿童使用喷雾型防晒化妆品，如必须使用</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，应当充分考虑吸入风险，在使用方法中标识“请勿直接喷于面部”“请先喷于手掌、再涂抹于面部”“避免吸入”</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类似警示用语。</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分类编码功效宣称为</w:t>
      </w:r>
      <w:r>
        <w:rPr>
          <w:rFonts w:hint="eastAsia" w:ascii="Times New Roman" w:hAnsi="Times New Roman" w:eastAsia="仿宋_GB2312" w:cs="Times New Roman"/>
          <w:sz w:val="32"/>
          <w:szCs w:val="32"/>
        </w:rPr>
        <w:t>卸妆、</w:t>
      </w:r>
      <w:r>
        <w:rPr>
          <w:rFonts w:ascii="Times New Roman" w:hAnsi="Times New Roman" w:eastAsia="仿宋_GB2312" w:cs="Times New Roman"/>
          <w:sz w:val="32"/>
          <w:szCs w:val="32"/>
        </w:rPr>
        <w:t>美容修饰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芳香</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护发的，原则上应当明确使用场景、使用频次等，并明确标识 “不建议日常使用”“不宜长期使用”“请及时清洗”“如有不适，请立即停止使用”等类似警示用语。</w:t>
      </w:r>
    </w:p>
    <w:p>
      <w:pPr>
        <w:snapToGrid w:val="0"/>
        <w:spacing w:line="560" w:lineRule="exact"/>
        <w:ind w:firstLine="643" w:firstLineChars="200"/>
        <w:outlineLvl w:val="1"/>
        <w:rPr>
          <w:rFonts w:ascii="Times New Roman" w:hAnsi="Times New Roman" w:eastAsia="仿宋" w:cs="Times New Roman"/>
          <w:b/>
          <w:bCs/>
          <w:sz w:val="32"/>
          <w:szCs w:val="32"/>
        </w:rPr>
      </w:pPr>
      <w:bookmarkStart w:id="58" w:name="_Toc86323839"/>
      <w:bookmarkStart w:id="59" w:name="_Toc100577313"/>
      <w:r>
        <w:rPr>
          <w:rFonts w:ascii="Times New Roman" w:hAnsi="Times New Roman" w:eastAsia="仿宋" w:cs="Times New Roman"/>
          <w:b/>
          <w:bCs/>
          <w:sz w:val="32"/>
          <w:szCs w:val="32"/>
        </w:rPr>
        <w:t>4.5 安全警示用语</w:t>
      </w:r>
      <w:bookmarkEnd w:id="58"/>
      <w:r>
        <w:rPr>
          <w:rFonts w:ascii="Times New Roman" w:hAnsi="Times New Roman" w:eastAsia="仿宋" w:cs="Times New Roman"/>
          <w:b/>
          <w:bCs/>
          <w:sz w:val="32"/>
          <w:szCs w:val="32"/>
        </w:rPr>
        <w:t>要求</w:t>
      </w:r>
      <w:bookmarkEnd w:id="59"/>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儿童化妆品</w:t>
      </w:r>
      <w:r>
        <w:rPr>
          <w:rFonts w:ascii="Times New Roman" w:hAnsi="Times New Roman" w:eastAsia="仿宋_GB2312" w:cs="Times New Roman"/>
          <w:sz w:val="32"/>
          <w:szCs w:val="32"/>
        </w:rPr>
        <w:t>应当按《化妆品标签管理办法》《化妆品安全技术规范》《儿童化妆品监督管理规定》等相关法规的要求标注安全警示用语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应当以“注意”或者“警告”作为引导语，标注“应当在成人监护下使用”等。对于压力灌装溶胶等易燃性产品，应当标注“注意防火防爆”等内容，或者</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图示</w:t>
      </w:r>
      <w:r>
        <w:rPr>
          <w:rFonts w:hint="eastAsia" w:ascii="Times New Roman" w:hAnsi="Times New Roman" w:eastAsia="仿宋_GB2312" w:cs="Times New Roman"/>
          <w:sz w:val="32"/>
          <w:szCs w:val="32"/>
        </w:rPr>
        <w:t>形式</w:t>
      </w:r>
      <w:r>
        <w:rPr>
          <w:rFonts w:ascii="Times New Roman" w:hAnsi="Times New Roman" w:eastAsia="仿宋_GB2312" w:cs="Times New Roman"/>
          <w:sz w:val="32"/>
          <w:szCs w:val="32"/>
        </w:rPr>
        <w:t>警示。</w:t>
      </w:r>
      <w:r>
        <w:rPr>
          <w:rFonts w:hint="eastAsia" w:ascii="Times New Roman" w:hAnsi="Times New Roman" w:eastAsia="仿宋_GB2312" w:cs="Times New Roman"/>
          <w:sz w:val="32"/>
          <w:szCs w:val="32"/>
        </w:rPr>
        <w:t>对使用</w:t>
      </w:r>
      <w:r>
        <w:rPr>
          <w:rFonts w:ascii="Times New Roman" w:hAnsi="Times New Roman" w:eastAsia="仿宋_GB2312" w:cs="Times New Roman"/>
          <w:sz w:val="32"/>
          <w:szCs w:val="32"/>
        </w:rPr>
        <w:t>含有26种致敏性组分</w:t>
      </w:r>
      <w:r>
        <w:rPr>
          <w:rFonts w:hint="eastAsia" w:ascii="Times New Roman" w:hAnsi="Times New Roman" w:eastAsia="仿宋_GB2312" w:cs="Times New Roman"/>
          <w:sz w:val="32"/>
          <w:szCs w:val="32"/>
        </w:rPr>
        <w:t>香精或者香料，按照第3.2部分要求</w:t>
      </w:r>
      <w:r>
        <w:rPr>
          <w:rFonts w:ascii="Times New Roman" w:hAnsi="Times New Roman" w:eastAsia="仿宋_GB2312" w:cs="Times New Roman"/>
          <w:sz w:val="32"/>
          <w:szCs w:val="32"/>
        </w:rPr>
        <w:t>应当</w:t>
      </w:r>
      <w:r>
        <w:rPr>
          <w:rFonts w:hint="eastAsia" w:ascii="Times New Roman" w:hAnsi="Times New Roman" w:eastAsia="仿宋_GB2312" w:cs="Times New Roman"/>
          <w:sz w:val="32"/>
          <w:szCs w:val="32"/>
        </w:rPr>
        <w:t>在标签</w:t>
      </w:r>
      <w:r>
        <w:rPr>
          <w:rFonts w:ascii="Times New Roman" w:hAnsi="Times New Roman" w:eastAsia="仿宋_GB2312" w:cs="Times New Roman"/>
          <w:sz w:val="32"/>
          <w:szCs w:val="32"/>
        </w:rPr>
        <w:t>标印</w:t>
      </w:r>
      <w:r>
        <w:rPr>
          <w:rFonts w:hint="eastAsia" w:ascii="Times New Roman" w:hAnsi="Times New Roman" w:eastAsia="仿宋_GB2312" w:cs="Times New Roman"/>
          <w:sz w:val="32"/>
          <w:szCs w:val="32"/>
        </w:rPr>
        <w:t>警示用语的，以“含致敏性组分”为引导语，标注具体的</w:t>
      </w:r>
      <w:r>
        <w:rPr>
          <w:rFonts w:ascii="Times New Roman" w:hAnsi="Times New Roman" w:eastAsia="仿宋_GB2312" w:cs="Times New Roman"/>
          <w:sz w:val="32"/>
          <w:szCs w:val="32"/>
        </w:rPr>
        <w:t>致敏性组分</w:t>
      </w:r>
      <w:r>
        <w:rPr>
          <w:rFonts w:hint="eastAsia" w:ascii="Times New Roman" w:hAnsi="Times New Roman" w:eastAsia="仿宋_GB2312" w:cs="Times New Roman"/>
          <w:sz w:val="32"/>
          <w:szCs w:val="32"/>
        </w:rPr>
        <w:t>名称等</w:t>
      </w:r>
      <w:r>
        <w:rPr>
          <w:rFonts w:ascii="Times New Roman" w:hAnsi="Times New Roman" w:eastAsia="仿宋_GB2312" w:cs="Times New Roman"/>
          <w:sz w:val="32"/>
          <w:szCs w:val="32"/>
        </w:rPr>
        <w:t>。</w:t>
      </w:r>
    </w:p>
    <w:p>
      <w:pPr>
        <w:snapToGrid w:val="0"/>
        <w:spacing w:line="560" w:lineRule="exact"/>
        <w:ind w:firstLine="643" w:firstLineChars="200"/>
        <w:outlineLvl w:val="1"/>
        <w:rPr>
          <w:rFonts w:ascii="Times New Roman" w:hAnsi="Times New Roman" w:eastAsia="仿宋" w:cs="Times New Roman"/>
          <w:b/>
          <w:bCs/>
          <w:sz w:val="32"/>
          <w:szCs w:val="32"/>
        </w:rPr>
      </w:pPr>
      <w:bookmarkStart w:id="60" w:name="_Toc100577314"/>
      <w:r>
        <w:rPr>
          <w:rFonts w:ascii="Times New Roman" w:hAnsi="Times New Roman" w:eastAsia="仿宋" w:cs="Times New Roman"/>
          <w:b/>
          <w:bCs/>
          <w:sz w:val="32"/>
          <w:szCs w:val="32"/>
        </w:rPr>
        <w:t>4.6</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贮存条件要求</w:t>
      </w:r>
      <w:bookmarkEnd w:id="60"/>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儿童化妆品</w:t>
      </w:r>
      <w:r>
        <w:rPr>
          <w:rFonts w:ascii="Times New Roman" w:hAnsi="Times New Roman" w:eastAsia="仿宋_GB2312" w:cs="Times New Roman"/>
          <w:sz w:val="32"/>
          <w:szCs w:val="32"/>
        </w:rPr>
        <w:t>所设定的贮存条件，应当科学</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合理。</w:t>
      </w:r>
    </w:p>
    <w:p>
      <w:pPr>
        <w:snapToGrid w:val="0"/>
        <w:spacing w:line="560" w:lineRule="exact"/>
        <w:ind w:firstLine="643" w:firstLineChars="200"/>
        <w:outlineLvl w:val="1"/>
        <w:rPr>
          <w:rFonts w:ascii="Times New Roman" w:hAnsi="Times New Roman" w:eastAsia="仿宋" w:cs="Times New Roman"/>
          <w:b/>
          <w:bCs/>
          <w:sz w:val="32"/>
          <w:szCs w:val="32"/>
        </w:rPr>
      </w:pPr>
      <w:bookmarkStart w:id="61" w:name="_Toc100577315"/>
      <w:r>
        <w:rPr>
          <w:rFonts w:ascii="Times New Roman" w:hAnsi="Times New Roman" w:eastAsia="仿宋" w:cs="Times New Roman"/>
          <w:b/>
          <w:bCs/>
          <w:sz w:val="32"/>
          <w:szCs w:val="32"/>
        </w:rPr>
        <w:t>4.7 使用期限要求</w:t>
      </w:r>
      <w:bookmarkEnd w:id="61"/>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儿童化妆品</w:t>
      </w:r>
      <w:r>
        <w:rPr>
          <w:rFonts w:ascii="Times New Roman" w:hAnsi="Times New Roman" w:eastAsia="仿宋_GB2312" w:cs="Times New Roman"/>
          <w:sz w:val="32"/>
          <w:szCs w:val="32"/>
        </w:rPr>
        <w:t>应当有明确的使用期限。</w:t>
      </w:r>
    </w:p>
    <w:p>
      <w:pPr>
        <w:snapToGrid w:val="0"/>
        <w:spacing w:line="560" w:lineRule="exact"/>
        <w:ind w:left="643"/>
        <w:outlineLvl w:val="0"/>
        <w:rPr>
          <w:rFonts w:ascii="Times New Roman" w:hAnsi="Times New Roman" w:eastAsia="仿宋" w:cs="Times New Roman"/>
          <w:b/>
          <w:bCs/>
          <w:sz w:val="32"/>
          <w:szCs w:val="32"/>
        </w:rPr>
      </w:pPr>
      <w:bookmarkStart w:id="62" w:name="_Toc100577316"/>
      <w:r>
        <w:rPr>
          <w:rFonts w:ascii="Times New Roman" w:hAnsi="Times New Roman" w:eastAsia="仿宋" w:cs="Times New Roman"/>
          <w:b/>
          <w:bCs/>
          <w:sz w:val="32"/>
          <w:szCs w:val="32"/>
        </w:rPr>
        <w:t>5. 儿童化妆品标签要求</w:t>
      </w:r>
      <w:bookmarkEnd w:id="62"/>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标签应当包括注册产品拟上市销售包装以及备案产品销售包装的产品中文标签（包括包装容器、包装盒、说明书等）的用以辨识说明产品基本信息、属性特征和安全警示等的文字、符号、数字、图案等内容，应当符合</w:t>
      </w:r>
      <w:r>
        <w:rPr>
          <w:rFonts w:hint="eastAsia" w:ascii="Times New Roman" w:hAnsi="Times New Roman" w:eastAsia="仿宋_GB2312" w:cs="Times New Roman"/>
          <w:sz w:val="32"/>
          <w:szCs w:val="32"/>
        </w:rPr>
        <w:t>《条例》等</w:t>
      </w:r>
      <w:r>
        <w:rPr>
          <w:rFonts w:ascii="Times New Roman" w:hAnsi="Times New Roman" w:eastAsia="仿宋_GB2312" w:cs="Times New Roman"/>
          <w:sz w:val="32"/>
          <w:szCs w:val="32"/>
        </w:rPr>
        <w:t>相关</w:t>
      </w:r>
      <w:r>
        <w:rPr>
          <w:rFonts w:hint="eastAsia" w:ascii="Times New Roman" w:hAnsi="Times New Roman" w:eastAsia="仿宋_GB2312" w:cs="Times New Roman"/>
          <w:sz w:val="32"/>
          <w:szCs w:val="32"/>
        </w:rPr>
        <w:t>法律</w:t>
      </w:r>
      <w:r>
        <w:rPr>
          <w:rFonts w:ascii="Times New Roman" w:hAnsi="Times New Roman" w:eastAsia="仿宋_GB2312" w:cs="Times New Roman"/>
          <w:sz w:val="32"/>
          <w:szCs w:val="32"/>
        </w:rPr>
        <w:t>法规和技术标准要求；不得含有禁止标注或者宣称的内容，不得标注“食品级”“可食用”等词语或者</w:t>
      </w:r>
      <w:r>
        <w:rPr>
          <w:rFonts w:hint="eastAsia" w:ascii="Times New Roman" w:hAnsi="Times New Roman" w:eastAsia="仿宋_GB2312" w:cs="Times New Roman"/>
          <w:sz w:val="32"/>
          <w:szCs w:val="32"/>
        </w:rPr>
        <w:t>与</w:t>
      </w:r>
      <w:r>
        <w:rPr>
          <w:rFonts w:ascii="Times New Roman" w:hAnsi="Times New Roman" w:eastAsia="仿宋_GB2312" w:cs="Times New Roman"/>
          <w:sz w:val="32"/>
          <w:szCs w:val="32"/>
        </w:rPr>
        <w:t>食品有关</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图案。</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化妆品注册人、备案人或者境内责任人应当依据所提交的产品标签样稿制成销售包装标签。销售包装标签（含说明书）应当</w:t>
      </w:r>
      <w:r>
        <w:rPr>
          <w:rFonts w:hint="eastAsia" w:ascii="Times New Roman" w:hAnsi="Times New Roman" w:eastAsia="仿宋_GB2312" w:cs="Times New Roman"/>
          <w:sz w:val="32"/>
          <w:szCs w:val="32"/>
        </w:rPr>
        <w:t>包括</w:t>
      </w:r>
      <w:r>
        <w:rPr>
          <w:rFonts w:ascii="Times New Roman" w:hAnsi="Times New Roman" w:eastAsia="仿宋_GB2312" w:cs="Times New Roman"/>
          <w:sz w:val="32"/>
          <w:szCs w:val="32"/>
        </w:rPr>
        <w:t>《化妆品标签管理办法》必须标注的内容，不得超出产品标签样稿载明的内容。</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儿童化妆品销售包装的性状、气味、外观形态等应当避免与食品、药品等产品相混淆，防止</w:t>
      </w:r>
      <w:r>
        <w:rPr>
          <w:rFonts w:hint="eastAsia" w:ascii="Times New Roman" w:hAnsi="Times New Roman" w:eastAsia="仿宋_GB2312" w:cs="Times New Roman"/>
          <w:sz w:val="32"/>
          <w:szCs w:val="32"/>
        </w:rPr>
        <w:t>儿童</w:t>
      </w:r>
      <w:r>
        <w:rPr>
          <w:rFonts w:ascii="Times New Roman" w:hAnsi="Times New Roman" w:eastAsia="仿宋_GB2312" w:cs="Times New Roman"/>
          <w:sz w:val="32"/>
          <w:szCs w:val="32"/>
        </w:rPr>
        <w:t>误食、误用。</w:t>
      </w:r>
    </w:p>
    <w:p>
      <w:pPr>
        <w:snapToGrid w:val="0"/>
        <w:spacing w:line="560" w:lineRule="exact"/>
        <w:ind w:firstLine="643" w:firstLineChars="200"/>
        <w:outlineLvl w:val="1"/>
        <w:rPr>
          <w:rFonts w:ascii="Times New Roman" w:hAnsi="Times New Roman" w:eastAsia="仿宋" w:cs="Times New Roman"/>
          <w:b/>
          <w:bCs/>
          <w:sz w:val="32"/>
          <w:szCs w:val="32"/>
        </w:rPr>
      </w:pPr>
      <w:bookmarkStart w:id="63" w:name="_Toc100577317"/>
      <w:r>
        <w:rPr>
          <w:rFonts w:ascii="Times New Roman" w:hAnsi="Times New Roman" w:eastAsia="仿宋" w:cs="Times New Roman"/>
          <w:b/>
          <w:bCs/>
          <w:sz w:val="32"/>
          <w:szCs w:val="32"/>
        </w:rPr>
        <w:t>5.1 儿童化妆品标签标注要求</w:t>
      </w:r>
      <w:bookmarkEnd w:id="63"/>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儿童化妆品标签中标注</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产品中文名称、企业信息、产品执行的标准编号、全成分、净含量、使用期限、使用方法、安全警示用语、创新用语等内容，应当符合《化妆品标签管理办法》等相关法规要求；使用方法、安全警示用语、使用期限等内容，应当与产品执行的标准中相关内容相符。</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标签中全成分标注应当与产品配方一致。生产过程中需使用但在后续生产步骤中去除的水、挥发性溶剂等助剂成分，以及为保证化妆品原料质量而在原料中添加的微量稳定剂、防腐剂、抗氧剂等成分可以不标注在全成分中。</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儿童化妆品应当在销售包装容易被观察到的展示面（以下称主要展示版面）的左上方按照国家药品监督管理局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关于发布儿童化妆品标志的公告</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（2021年第143号）</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规定标注儿童化妆品标志。安全警示用语应当在主要展示版面标注，并以“注意”或者“警告”作为引导语。</w:t>
      </w:r>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其他按照</w:t>
      </w:r>
      <w:r>
        <w:rPr>
          <w:rFonts w:ascii="Times New Roman" w:hAnsi="Times New Roman" w:eastAsia="仿宋_GB2312" w:cs="Times New Roman"/>
          <w:sz w:val="32"/>
          <w:szCs w:val="32"/>
        </w:rPr>
        <w:t>《化妆品标签管理办法》对标签内容有特别规定的，如需要对产品名称进行解释说明、对创新用语进行解释说明</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，应当</w:t>
      </w:r>
      <w:r>
        <w:rPr>
          <w:rFonts w:hint="eastAsia" w:ascii="Times New Roman" w:hAnsi="Times New Roman" w:eastAsia="仿宋_GB2312" w:cs="Times New Roman"/>
          <w:sz w:val="32"/>
          <w:szCs w:val="32"/>
        </w:rPr>
        <w:t>标注</w:t>
      </w:r>
      <w:r>
        <w:rPr>
          <w:rFonts w:ascii="Times New Roman" w:hAnsi="Times New Roman" w:eastAsia="仿宋_GB2312" w:cs="Times New Roman"/>
          <w:sz w:val="32"/>
          <w:szCs w:val="32"/>
        </w:rPr>
        <w:t>在销售包装</w:t>
      </w:r>
      <w:r>
        <w:rPr>
          <w:rFonts w:hint="eastAsia" w:ascii="Times New Roman" w:hAnsi="Times New Roman" w:eastAsia="仿宋_GB2312" w:cs="Times New Roman"/>
          <w:sz w:val="32"/>
          <w:szCs w:val="32"/>
        </w:rPr>
        <w:t>主要展示版面</w:t>
      </w:r>
      <w:r>
        <w:rPr>
          <w:rFonts w:ascii="Times New Roman" w:hAnsi="Times New Roman" w:eastAsia="仿宋_GB2312" w:cs="Times New Roman"/>
          <w:sz w:val="32"/>
          <w:szCs w:val="32"/>
        </w:rPr>
        <w:t>上。</w:t>
      </w:r>
    </w:p>
    <w:p>
      <w:pPr>
        <w:snapToGrid w:val="0"/>
        <w:spacing w:line="560" w:lineRule="exact"/>
        <w:ind w:firstLine="643" w:firstLineChars="200"/>
        <w:outlineLvl w:val="1"/>
        <w:rPr>
          <w:rFonts w:ascii="Times New Roman" w:hAnsi="Times New Roman" w:eastAsia="仿宋" w:cs="Times New Roman"/>
          <w:b/>
          <w:bCs/>
          <w:sz w:val="32"/>
          <w:szCs w:val="32"/>
        </w:rPr>
      </w:pPr>
      <w:bookmarkStart w:id="64" w:name="_Toc100577318"/>
      <w:r>
        <w:rPr>
          <w:rFonts w:ascii="Times New Roman" w:hAnsi="Times New Roman" w:eastAsia="仿宋" w:cs="Times New Roman"/>
          <w:b/>
          <w:bCs/>
          <w:sz w:val="32"/>
          <w:szCs w:val="32"/>
        </w:rPr>
        <w:t>5.2</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标签宣称要求</w:t>
      </w:r>
      <w:bookmarkEnd w:id="64"/>
      <w:r>
        <w:rPr>
          <w:rFonts w:ascii="Times New Roman" w:hAnsi="Times New Roman" w:eastAsia="仿宋" w:cs="Times New Roman"/>
          <w:b/>
          <w:bCs/>
          <w:sz w:val="32"/>
          <w:szCs w:val="32"/>
        </w:rPr>
        <w:t xml:space="preserve"> </w:t>
      </w:r>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儿童化妆品</w:t>
      </w:r>
      <w:r>
        <w:rPr>
          <w:rFonts w:ascii="Times New Roman" w:hAnsi="Times New Roman" w:eastAsia="仿宋_GB2312" w:cs="Times New Roman"/>
          <w:sz w:val="32"/>
          <w:szCs w:val="32"/>
        </w:rPr>
        <w:t>标签宣称应当符合《条例》</w:t>
      </w:r>
      <w:r>
        <w:rPr>
          <w:rFonts w:hint="eastAsia" w:ascii="Times New Roman" w:hAnsi="Times New Roman" w:eastAsia="仿宋_GB2312" w:cs="Times New Roman"/>
          <w:sz w:val="32"/>
          <w:szCs w:val="32"/>
        </w:rPr>
        <w:t>等相关法律法规和技术标准</w:t>
      </w:r>
      <w:r>
        <w:rPr>
          <w:rFonts w:ascii="Times New Roman" w:hAnsi="Times New Roman" w:eastAsia="仿宋_GB2312" w:cs="Times New Roman"/>
          <w:sz w:val="32"/>
          <w:szCs w:val="32"/>
        </w:rPr>
        <w:t>要求，应当与注册备案资料相关内容一致。涉及功效宣称、作用部位、使用人群、产品剂型、使用方法等内容的，应当与所提交的产品分类编码、申报类别相符；功效宣称是指有《化妆品分类规则和分类目录》附件1功效宣称分类目录中“功效类别”词语的，或者依据该分类目录中“释义说明和宣称指引”能明确判定功效类别的宣称内容。</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涉及功效宣称为修护、舒缓以及宣称温和（无刺激）、量化指标（功效宣称保持时间、功效宣称相关统计数据等）、无泪配方等内容的，应当有充分的科学依据，不得标注虚假或者引人误解的内容。</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其他涉及产品功效、安全宣称的，应当与相应的证明资料一致。</w:t>
      </w:r>
    </w:p>
    <w:p>
      <w:pPr>
        <w:snapToGrid w:val="0"/>
        <w:spacing w:line="560" w:lineRule="exact"/>
        <w:ind w:firstLine="643" w:firstLineChars="200"/>
        <w:outlineLvl w:val="1"/>
        <w:rPr>
          <w:rFonts w:ascii="Times New Roman" w:hAnsi="Times New Roman" w:eastAsia="仿宋" w:cs="Times New Roman"/>
          <w:b/>
          <w:bCs/>
          <w:sz w:val="32"/>
          <w:szCs w:val="32"/>
        </w:rPr>
      </w:pPr>
      <w:bookmarkStart w:id="65" w:name="_Toc100577319"/>
      <w:r>
        <w:rPr>
          <w:rFonts w:ascii="Times New Roman" w:hAnsi="Times New Roman" w:eastAsia="仿宋" w:cs="Times New Roman"/>
          <w:b/>
          <w:bCs/>
          <w:sz w:val="32"/>
          <w:szCs w:val="32"/>
        </w:rPr>
        <w:t>5.3防晒类儿童化妆品宣称要求</w:t>
      </w:r>
      <w:bookmarkEnd w:id="65"/>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防晒类儿童化妆品标注</w:t>
      </w:r>
      <w:r>
        <w:rPr>
          <w:rFonts w:hint="eastAsia" w:ascii="Times New Roman" w:hAnsi="Times New Roman" w:eastAsia="仿宋_GB2312" w:cs="Times New Roman"/>
          <w:sz w:val="32"/>
          <w:szCs w:val="32"/>
        </w:rPr>
        <w:t>防晒效果如</w:t>
      </w:r>
      <w:r>
        <w:rPr>
          <w:rFonts w:ascii="Times New Roman" w:hAnsi="Times New Roman" w:eastAsia="仿宋_GB2312" w:cs="Times New Roman"/>
          <w:sz w:val="32"/>
          <w:szCs w:val="32"/>
        </w:rPr>
        <w:t>SPF值、PA等级等内容的，应当与</w:t>
      </w:r>
      <w:r>
        <w:rPr>
          <w:rFonts w:hint="eastAsia" w:ascii="Times New Roman" w:hAnsi="Times New Roman" w:eastAsia="仿宋_GB2312" w:cs="Times New Roman"/>
          <w:sz w:val="32"/>
          <w:szCs w:val="32"/>
        </w:rPr>
        <w:t>功效试验报告的</w:t>
      </w:r>
      <w:r>
        <w:rPr>
          <w:rFonts w:ascii="Times New Roman" w:hAnsi="Times New Roman" w:eastAsia="仿宋_GB2312" w:cs="Times New Roman"/>
          <w:sz w:val="32"/>
          <w:szCs w:val="32"/>
        </w:rPr>
        <w:t>测</w:t>
      </w:r>
      <w:r>
        <w:rPr>
          <w:rFonts w:hint="eastAsia" w:ascii="Times New Roman" w:hAnsi="Times New Roman" w:eastAsia="仿宋_GB2312" w:cs="Times New Roman"/>
          <w:sz w:val="32"/>
          <w:szCs w:val="32"/>
        </w:rPr>
        <w:t>定</w:t>
      </w:r>
      <w:r>
        <w:rPr>
          <w:rFonts w:ascii="Times New Roman" w:hAnsi="Times New Roman" w:eastAsia="仿宋_GB2312" w:cs="Times New Roman"/>
          <w:sz w:val="32"/>
          <w:szCs w:val="32"/>
        </w:rPr>
        <w:t>结果相符，应当符合相关</w:t>
      </w:r>
      <w:r>
        <w:rPr>
          <w:rFonts w:hint="eastAsia" w:ascii="Times New Roman" w:hAnsi="Times New Roman" w:eastAsia="仿宋_GB2312" w:cs="Times New Roman"/>
          <w:sz w:val="32"/>
          <w:szCs w:val="32"/>
        </w:rPr>
        <w:t>法律</w:t>
      </w:r>
      <w:r>
        <w:rPr>
          <w:rFonts w:ascii="Times New Roman" w:hAnsi="Times New Roman" w:eastAsia="仿宋_GB2312" w:cs="Times New Roman"/>
          <w:sz w:val="32"/>
          <w:szCs w:val="32"/>
        </w:rPr>
        <w:t>法规</w:t>
      </w:r>
      <w:r>
        <w:rPr>
          <w:rFonts w:hint="eastAsia" w:ascii="Times New Roman" w:hAnsi="Times New Roman" w:eastAsia="仿宋_GB2312" w:cs="Times New Roman"/>
          <w:sz w:val="32"/>
          <w:szCs w:val="32"/>
        </w:rPr>
        <w:t>和技术标准</w:t>
      </w:r>
      <w:r>
        <w:rPr>
          <w:rFonts w:ascii="Times New Roman" w:hAnsi="Times New Roman" w:eastAsia="仿宋_GB2312" w:cs="Times New Roman"/>
          <w:sz w:val="32"/>
          <w:szCs w:val="32"/>
        </w:rPr>
        <w:t>要求。不同包装类型、各部分配方不同、且只有一个产品名称的产品，当存在各部分单独使用的可能性时，如根据各部分防晒功效</w:t>
      </w:r>
      <w:r>
        <w:rPr>
          <w:rFonts w:hint="eastAsia" w:ascii="Times New Roman" w:hAnsi="Times New Roman" w:eastAsia="仿宋_GB2312" w:cs="Times New Roman"/>
          <w:sz w:val="32"/>
          <w:szCs w:val="32"/>
        </w:rPr>
        <w:t>试验报告</w:t>
      </w:r>
      <w:r>
        <w:rPr>
          <w:rFonts w:ascii="Times New Roman" w:hAnsi="Times New Roman" w:eastAsia="仿宋_GB2312" w:cs="Times New Roman"/>
          <w:sz w:val="32"/>
          <w:szCs w:val="32"/>
        </w:rPr>
        <w:t>结果能够选择同一宣称数值的，可作统一标注；否则应当对各部分防晒效果作分别标注。</w:t>
      </w:r>
      <w:r>
        <w:rPr>
          <w:rFonts w:hint="eastAsia" w:ascii="Times New Roman" w:hAnsi="Times New Roman" w:eastAsia="仿宋_GB2312" w:cs="Times New Roman"/>
          <w:sz w:val="32"/>
          <w:szCs w:val="32"/>
        </w:rPr>
        <w:t>儿童化妆品</w:t>
      </w:r>
      <w:r>
        <w:rPr>
          <w:rFonts w:ascii="Times New Roman" w:hAnsi="Times New Roman" w:eastAsia="仿宋_GB2312" w:cs="Times New Roman"/>
          <w:sz w:val="32"/>
          <w:szCs w:val="32"/>
        </w:rPr>
        <w:t>不得宣称“高倍防晒”，不</w:t>
      </w:r>
      <w:r>
        <w:rPr>
          <w:rFonts w:hint="eastAsia" w:ascii="Times New Roman" w:hAnsi="Times New Roman" w:eastAsia="仿宋_GB2312" w:cs="Times New Roman"/>
          <w:sz w:val="32"/>
          <w:szCs w:val="32"/>
        </w:rPr>
        <w:t>得有</w:t>
      </w:r>
      <w:r>
        <w:rPr>
          <w:rFonts w:ascii="Times New Roman" w:hAnsi="Times New Roman" w:eastAsia="仿宋_GB2312" w:cs="Times New Roman"/>
          <w:sz w:val="32"/>
          <w:szCs w:val="32"/>
        </w:rPr>
        <w:t>鼓励暴晒</w:t>
      </w:r>
      <w:r>
        <w:rPr>
          <w:rFonts w:hint="eastAsia" w:ascii="Times New Roman" w:hAnsi="Times New Roman" w:eastAsia="仿宋_GB2312" w:cs="Times New Roman"/>
          <w:sz w:val="32"/>
          <w:szCs w:val="32"/>
        </w:rPr>
        <w:t>的宣称</w:t>
      </w:r>
      <w:r>
        <w:rPr>
          <w:rFonts w:ascii="Times New Roman" w:hAnsi="Times New Roman" w:eastAsia="仿宋_GB2312" w:cs="Times New Roman"/>
          <w:sz w:val="32"/>
          <w:szCs w:val="32"/>
        </w:rPr>
        <w:t>，如有效抵抗XX小时紫外线辐射、有效降低XX%紫外线损伤、提供XX倍防护能力等。</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宣称防水性能的，应当与选用的防水性能测定方法和结果相符。通常情况下，仅采用“防水”“防汗”等客观用语的，可视作宣称一般防水性能；采用“高度</w:t>
      </w:r>
      <w:r>
        <w:rPr>
          <w:rFonts w:hint="eastAsia" w:ascii="Times New Roman" w:hAnsi="Times New Roman" w:eastAsia="仿宋_GB2312" w:cs="Times New Roman"/>
          <w:sz w:val="32"/>
          <w:szCs w:val="32"/>
        </w:rPr>
        <w:t>防水防汗</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等主观用语的、</w:t>
      </w:r>
      <w:r>
        <w:rPr>
          <w:rFonts w:ascii="Times New Roman" w:hAnsi="Times New Roman" w:eastAsia="仿宋_GB2312" w:cs="Times New Roman"/>
          <w:sz w:val="32"/>
          <w:szCs w:val="32"/>
        </w:rPr>
        <w:t>“适合游泳等户外活动”等具体使用场景用语的，或其他类似用语的，可视作宣称强抗水性能。</w:t>
      </w:r>
    </w:p>
    <w:p>
      <w:pPr>
        <w:snapToGrid w:val="0"/>
        <w:spacing w:line="560" w:lineRule="exact"/>
        <w:ind w:firstLine="643" w:firstLineChars="200"/>
        <w:outlineLvl w:val="1"/>
        <w:rPr>
          <w:rFonts w:ascii="Times New Roman" w:hAnsi="Times New Roman" w:eastAsia="仿宋" w:cs="Times New Roman"/>
          <w:b/>
          <w:bCs/>
          <w:sz w:val="32"/>
          <w:szCs w:val="32"/>
        </w:rPr>
      </w:pPr>
      <w:bookmarkStart w:id="66" w:name="_Toc100577320"/>
      <w:r>
        <w:rPr>
          <w:rFonts w:ascii="Times New Roman" w:hAnsi="Times New Roman" w:eastAsia="仿宋" w:cs="Times New Roman"/>
          <w:b/>
          <w:bCs/>
          <w:sz w:val="32"/>
          <w:szCs w:val="32"/>
        </w:rPr>
        <w:t>5.4</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进口儿童化妆品</w:t>
      </w:r>
      <w:r>
        <w:rPr>
          <w:rFonts w:hint="eastAsia" w:ascii="Times New Roman" w:hAnsi="Times New Roman" w:eastAsia="仿宋" w:cs="Times New Roman"/>
          <w:b/>
          <w:bCs/>
          <w:sz w:val="32"/>
          <w:szCs w:val="32"/>
        </w:rPr>
        <w:t>标签</w:t>
      </w:r>
      <w:r>
        <w:rPr>
          <w:rFonts w:ascii="Times New Roman" w:hAnsi="Times New Roman" w:eastAsia="仿宋" w:cs="Times New Roman"/>
          <w:b/>
          <w:bCs/>
          <w:sz w:val="32"/>
          <w:szCs w:val="32"/>
        </w:rPr>
        <w:t>要求</w:t>
      </w:r>
      <w:bookmarkEnd w:id="66"/>
      <w:r>
        <w:rPr>
          <w:rFonts w:ascii="Times New Roman" w:hAnsi="Times New Roman" w:eastAsia="仿宋" w:cs="Times New Roman"/>
          <w:b/>
          <w:bCs/>
          <w:sz w:val="32"/>
          <w:szCs w:val="32"/>
        </w:rPr>
        <w:t xml:space="preserve"> </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进口</w:t>
      </w:r>
      <w:r>
        <w:rPr>
          <w:rFonts w:hint="eastAsia" w:ascii="Times New Roman" w:hAnsi="Times New Roman" w:eastAsia="仿宋_GB2312" w:cs="Times New Roman"/>
          <w:sz w:val="32"/>
          <w:szCs w:val="32"/>
        </w:rPr>
        <w:t>儿童</w:t>
      </w:r>
      <w:r>
        <w:rPr>
          <w:rFonts w:ascii="Times New Roman" w:hAnsi="Times New Roman" w:eastAsia="仿宋_GB2312" w:cs="Times New Roman"/>
          <w:sz w:val="32"/>
          <w:szCs w:val="32"/>
        </w:rPr>
        <w:t>化妆品可以直接使用销售包装标签，也可以制成中文标签加贴在原产品销售包装上</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标签中</w:t>
      </w:r>
      <w:r>
        <w:rPr>
          <w:rFonts w:hint="eastAsia" w:ascii="Times New Roman" w:hAnsi="Times New Roman" w:eastAsia="仿宋_GB2312" w:cs="Times New Roman"/>
          <w:sz w:val="32"/>
          <w:szCs w:val="32"/>
        </w:rPr>
        <w:t>功效宣称、</w:t>
      </w:r>
      <w:r>
        <w:rPr>
          <w:rFonts w:ascii="Times New Roman" w:hAnsi="Times New Roman" w:eastAsia="仿宋_GB2312" w:cs="Times New Roman"/>
          <w:sz w:val="32"/>
          <w:szCs w:val="32"/>
        </w:rPr>
        <w:t>使用方法、使用部位、使用人群、安全警示用语（含注意事项）等内容，应当与化妆品注册人、备案人所在国（地区）或生产国（地区）销售包装标签（含说明书）中相关内容</w:t>
      </w:r>
      <w:r>
        <w:rPr>
          <w:rFonts w:hint="eastAsia" w:ascii="Times New Roman" w:hAnsi="Times New Roman" w:eastAsia="仿宋_GB2312" w:cs="Times New Roman"/>
          <w:sz w:val="32"/>
          <w:szCs w:val="32"/>
        </w:rPr>
        <w:t>一致</w:t>
      </w:r>
      <w:r>
        <w:rPr>
          <w:rFonts w:ascii="Times New Roman" w:hAnsi="Times New Roman" w:eastAsia="仿宋_GB2312" w:cs="Times New Roman"/>
          <w:sz w:val="32"/>
          <w:szCs w:val="32"/>
        </w:rPr>
        <w:t>；有标注香精致敏</w:t>
      </w:r>
      <w:r>
        <w:rPr>
          <w:rFonts w:hint="eastAsia" w:ascii="Times New Roman" w:hAnsi="Times New Roman" w:eastAsia="仿宋_GB2312" w:cs="Times New Roman"/>
          <w:sz w:val="32"/>
          <w:szCs w:val="32"/>
        </w:rPr>
        <w:t>性组</w:t>
      </w:r>
      <w:r>
        <w:rPr>
          <w:rFonts w:ascii="Times New Roman" w:hAnsi="Times New Roman" w:eastAsia="仿宋_GB2312" w:cs="Times New Roman"/>
          <w:sz w:val="32"/>
          <w:szCs w:val="32"/>
        </w:rPr>
        <w:t>分的，应当在安全警示用语中标注。防晒类儿童化妆品标注的SPF值</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PA等级等内容，应当符合中国</w:t>
      </w:r>
      <w:r>
        <w:rPr>
          <w:rFonts w:hint="eastAsia" w:ascii="Times New Roman" w:hAnsi="Times New Roman" w:eastAsia="仿宋_GB2312" w:cs="Times New Roman"/>
          <w:sz w:val="32"/>
          <w:szCs w:val="32"/>
        </w:rPr>
        <w:t>防晒效果标识等</w:t>
      </w:r>
      <w:r>
        <w:rPr>
          <w:rFonts w:ascii="Times New Roman" w:hAnsi="Times New Roman" w:eastAsia="仿宋_GB2312" w:cs="Times New Roman"/>
          <w:sz w:val="32"/>
          <w:szCs w:val="32"/>
        </w:rPr>
        <w:t>相关法规要求。</w:t>
      </w:r>
      <w:bookmarkStart w:id="67" w:name="_Toc96965291"/>
      <w:bookmarkEnd w:id="67"/>
      <w:bookmarkStart w:id="68" w:name="_Toc96965017"/>
      <w:bookmarkEnd w:id="68"/>
      <w:bookmarkStart w:id="69" w:name="_Toc96964569"/>
      <w:bookmarkEnd w:id="69"/>
      <w:bookmarkStart w:id="70" w:name="_Toc96965201"/>
      <w:bookmarkEnd w:id="70"/>
      <w:bookmarkStart w:id="71" w:name="_Toc96964830"/>
      <w:bookmarkEnd w:id="71"/>
      <w:bookmarkStart w:id="72" w:name="_Toc96964690"/>
      <w:bookmarkEnd w:id="72"/>
      <w:bookmarkStart w:id="73" w:name="_Toc96964736"/>
      <w:bookmarkEnd w:id="73"/>
      <w:bookmarkStart w:id="74" w:name="_Toc96964783"/>
      <w:bookmarkEnd w:id="74"/>
      <w:bookmarkStart w:id="75" w:name="_Toc96965109"/>
      <w:bookmarkEnd w:id="75"/>
      <w:bookmarkStart w:id="76" w:name="_Toc96964877"/>
      <w:bookmarkEnd w:id="76"/>
      <w:bookmarkStart w:id="77" w:name="_Toc96964924"/>
      <w:bookmarkEnd w:id="77"/>
      <w:bookmarkStart w:id="78" w:name="_Toc96964971"/>
      <w:bookmarkEnd w:id="78"/>
      <w:bookmarkStart w:id="79" w:name="_Toc96965155"/>
      <w:bookmarkEnd w:id="79"/>
      <w:bookmarkStart w:id="80" w:name="_Toc96965063"/>
      <w:bookmarkEnd w:id="80"/>
      <w:bookmarkStart w:id="81" w:name="_Toc96965380"/>
      <w:bookmarkEnd w:id="81"/>
      <w:bookmarkStart w:id="82" w:name="_Toc96965424"/>
      <w:bookmarkEnd w:id="82"/>
      <w:bookmarkStart w:id="83" w:name="_Toc96965336"/>
      <w:bookmarkEnd w:id="83"/>
      <w:bookmarkStart w:id="84" w:name="_Toc96965246"/>
      <w:bookmarkEnd w:id="84"/>
      <w:bookmarkStart w:id="85" w:name="_Toc96965469"/>
      <w:bookmarkEnd w:id="85"/>
    </w:p>
    <w:p>
      <w:pPr>
        <w:snapToGrid w:val="0"/>
        <w:spacing w:line="560" w:lineRule="exact"/>
        <w:ind w:left="643"/>
        <w:outlineLvl w:val="0"/>
        <w:rPr>
          <w:rFonts w:ascii="Times New Roman" w:hAnsi="Times New Roman" w:eastAsia="仿宋" w:cs="Times New Roman"/>
          <w:b/>
          <w:bCs/>
          <w:sz w:val="32"/>
          <w:szCs w:val="32"/>
        </w:rPr>
      </w:pPr>
      <w:bookmarkStart w:id="86" w:name="_Toc100577321"/>
      <w:r>
        <w:rPr>
          <w:rFonts w:ascii="Times New Roman" w:hAnsi="Times New Roman" w:eastAsia="仿宋" w:cs="Times New Roman"/>
          <w:b/>
          <w:bCs/>
          <w:sz w:val="32"/>
          <w:szCs w:val="32"/>
        </w:rPr>
        <w:t>6.</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儿童化妆品产品检验报告要求</w:t>
      </w:r>
      <w:bookmarkEnd w:id="86"/>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产品检验报告应当由化妆品注册备案检验机构出具，应当符合《化妆品安全技术规范》《化妆品注册和备案检验工作规范》等相关法律法规和技术标准</w:t>
      </w:r>
      <w:r>
        <w:rPr>
          <w:rFonts w:hint="eastAsia" w:ascii="Times New Roman" w:hAnsi="Times New Roman" w:eastAsia="仿宋_GB2312" w:cs="Times New Roman"/>
          <w:sz w:val="32"/>
          <w:szCs w:val="32"/>
        </w:rPr>
        <w:t>要求</w:t>
      </w:r>
      <w:r>
        <w:rPr>
          <w:rFonts w:ascii="Times New Roman" w:hAnsi="Times New Roman" w:eastAsia="仿宋_GB2312" w:cs="Times New Roman"/>
          <w:sz w:val="32"/>
          <w:szCs w:val="32"/>
        </w:rPr>
        <w:t>。</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产品检验报告中载明的产品信息应当与《化妆品注册备案信息表》相关信息保持一致。由于变更产品名称等原因，导致检验报告中产品中文名称、企业名称等不影响检验结果的信息与《化妆品注册备案信息表》不一致的，应当予以说明，并提交检验报告变更申请表和检验检测机构出具的补充检验报告或者更正函。</w:t>
      </w:r>
    </w:p>
    <w:p>
      <w:pPr>
        <w:snapToGrid w:val="0"/>
        <w:spacing w:line="560" w:lineRule="exact"/>
        <w:ind w:firstLine="643" w:firstLineChars="200"/>
        <w:outlineLvl w:val="1"/>
        <w:rPr>
          <w:rFonts w:ascii="Times New Roman" w:hAnsi="Times New Roman" w:eastAsia="仿宋" w:cs="Times New Roman"/>
          <w:b/>
          <w:bCs/>
          <w:sz w:val="32"/>
          <w:szCs w:val="32"/>
        </w:rPr>
      </w:pPr>
      <w:bookmarkStart w:id="87" w:name="_Toc100577322"/>
      <w:r>
        <w:rPr>
          <w:rFonts w:ascii="Times New Roman" w:hAnsi="Times New Roman" w:eastAsia="仿宋" w:cs="Times New Roman"/>
          <w:b/>
          <w:bCs/>
          <w:sz w:val="32"/>
          <w:szCs w:val="32"/>
        </w:rPr>
        <w:t>6.1 微生物与理化检验报告要求</w:t>
      </w:r>
      <w:bookmarkEnd w:id="87"/>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的微生物与理化检验项目应当符合《化妆品安全技术规范》《化妆品注册和备案检验工作规范》等相关法律法规和技术标准的要求，检验结果应当符合《化妆品安全技术规范》以及产品执行的标准要求。</w:t>
      </w:r>
    </w:p>
    <w:p>
      <w:pPr>
        <w:snapToGrid w:val="0"/>
        <w:spacing w:line="560" w:lineRule="exact"/>
        <w:ind w:firstLine="643" w:firstLineChars="200"/>
        <w:outlineLvl w:val="1"/>
        <w:rPr>
          <w:rFonts w:ascii="Times New Roman" w:hAnsi="Times New Roman" w:eastAsia="仿宋" w:cs="Times New Roman"/>
          <w:b/>
          <w:bCs/>
          <w:sz w:val="32"/>
          <w:szCs w:val="32"/>
        </w:rPr>
      </w:pPr>
      <w:bookmarkStart w:id="88" w:name="_Toc100577323"/>
      <w:r>
        <w:rPr>
          <w:rFonts w:ascii="Times New Roman" w:hAnsi="Times New Roman" w:eastAsia="仿宋" w:cs="Times New Roman"/>
          <w:b/>
          <w:bCs/>
          <w:sz w:val="32"/>
          <w:szCs w:val="32"/>
        </w:rPr>
        <w:t>6.2 毒理学试验报告要求</w:t>
      </w:r>
      <w:bookmarkEnd w:id="88"/>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毒理学试验的检验项目应当符合《化妆品注册和备案检验工作规范》的要求。毒理学试验的试验方法应当为《化妆品安全技术规范》规定的方法。毒理学试验结果判定应当正确。</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儿童化妆品的急性眼刺激性/腐蚀性试验结果应当为无刺激性，皮肤刺激性/腐蚀性试验结果应当为无刺激性，皮肤变态反应性试验结论应当为无致敏性，皮肤光毒性试验结果应当为无光毒性。 </w:t>
      </w:r>
    </w:p>
    <w:p>
      <w:pPr>
        <w:snapToGrid w:val="0"/>
        <w:spacing w:line="560" w:lineRule="exact"/>
        <w:ind w:firstLine="643" w:firstLineChars="200"/>
        <w:outlineLvl w:val="1"/>
        <w:rPr>
          <w:rFonts w:ascii="Times New Roman" w:hAnsi="Times New Roman" w:eastAsia="仿宋" w:cs="Times New Roman"/>
          <w:b/>
          <w:bCs/>
          <w:sz w:val="32"/>
          <w:szCs w:val="32"/>
        </w:rPr>
      </w:pPr>
      <w:bookmarkStart w:id="89" w:name="_Toc100577324"/>
      <w:r>
        <w:rPr>
          <w:rFonts w:ascii="Times New Roman" w:hAnsi="Times New Roman" w:eastAsia="仿宋" w:cs="Times New Roman"/>
          <w:b/>
          <w:bCs/>
          <w:sz w:val="32"/>
          <w:szCs w:val="32"/>
        </w:rPr>
        <w:t>6.3 人体安全性试验报告要求</w:t>
      </w:r>
      <w:bookmarkEnd w:id="89"/>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防晒类儿童化妆品应当按照《化妆品安全技术规范》要求开展皮肤封闭型人体皮肤斑贴试验，试验结果应当为0例出现皮肤不良反应。</w:t>
      </w:r>
    </w:p>
    <w:p>
      <w:pPr>
        <w:snapToGrid w:val="0"/>
        <w:spacing w:line="560" w:lineRule="exact"/>
        <w:ind w:firstLine="643" w:firstLineChars="200"/>
        <w:outlineLvl w:val="1"/>
        <w:rPr>
          <w:rFonts w:ascii="Times New Roman" w:hAnsi="Times New Roman" w:eastAsia="仿宋" w:cs="Times New Roman"/>
          <w:b/>
          <w:bCs/>
          <w:sz w:val="32"/>
          <w:szCs w:val="32"/>
        </w:rPr>
      </w:pPr>
      <w:bookmarkStart w:id="90" w:name="_Toc100577325"/>
      <w:r>
        <w:rPr>
          <w:rFonts w:ascii="Times New Roman" w:hAnsi="Times New Roman" w:eastAsia="仿宋" w:cs="Times New Roman"/>
          <w:b/>
          <w:bCs/>
          <w:sz w:val="32"/>
          <w:szCs w:val="32"/>
        </w:rPr>
        <w:t>6.4 人体功效试验报告要求</w:t>
      </w:r>
      <w:bookmarkEnd w:id="90"/>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宣称防晒的儿童化妆品需要检测SPF值。非防晒类化妆品中化学防晒剂含量之和≥0.5%（w/w）的产品（淋洗类、香水类、指甲油类除外），需要检测SPF值。</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标注PFA值或PA+～PA++++的产品，需要检测长波紫外线防护指数（PFA值）；宣称UVA防护效果或宣称广谱防晒的产品，需要检测化妆品抗UVA能力参数—临界波长或PFA值。</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防晒类儿童化妆品宣称“防水”“防汗”或“适合游泳等户外活动”等内容的，根据其所宣称抗水程度或时间按规定的方法检测防水性能。产品防水性能测定结果显示洗浴后SPF值减少超过50％的，不得宣称防水效果。</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进口儿童化妆品的销售包装标签</w:t>
      </w:r>
      <w:r>
        <w:rPr>
          <w:rFonts w:hint="eastAsia" w:ascii="Times New Roman" w:hAnsi="Times New Roman" w:eastAsia="仿宋_GB2312" w:cs="Times New Roman"/>
          <w:sz w:val="32"/>
          <w:szCs w:val="32"/>
        </w:rPr>
        <w:t>中</w:t>
      </w:r>
      <w:r>
        <w:rPr>
          <w:rFonts w:ascii="Times New Roman" w:hAnsi="Times New Roman" w:eastAsia="仿宋_GB2312" w:cs="Times New Roman"/>
          <w:sz w:val="32"/>
          <w:szCs w:val="32"/>
        </w:rPr>
        <w:t>标注SPF值、PFA值、PA、UVA防护或者宣称“防水”“防汗”“适合游泳等户外活动”等相关内容的，应当提供SPF、UVA防护试验报告或者防水性能试验报告，不得通过修改销售包装标签（含说明书）的标注</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减免检测试验项目</w:t>
      </w:r>
      <w:r>
        <w:rPr>
          <w:rFonts w:hint="eastAsia" w:ascii="Times New Roman" w:hAnsi="Times New Roman" w:eastAsia="仿宋_GB2312" w:cs="Times New Roman"/>
          <w:sz w:val="32"/>
          <w:szCs w:val="32"/>
        </w:rPr>
        <w:t>。</w:t>
      </w:r>
    </w:p>
    <w:p>
      <w:pPr>
        <w:snapToGrid w:val="0"/>
        <w:spacing w:line="560" w:lineRule="exact"/>
        <w:ind w:left="643"/>
        <w:outlineLvl w:val="0"/>
        <w:rPr>
          <w:rFonts w:ascii="Times New Roman" w:hAnsi="Times New Roman" w:eastAsia="仿宋" w:cs="Times New Roman"/>
          <w:b/>
          <w:bCs/>
          <w:sz w:val="32"/>
          <w:szCs w:val="32"/>
        </w:rPr>
      </w:pPr>
      <w:bookmarkStart w:id="91" w:name="_Toc100577326"/>
      <w:r>
        <w:rPr>
          <w:rFonts w:ascii="Times New Roman" w:hAnsi="Times New Roman" w:eastAsia="仿宋" w:cs="Times New Roman"/>
          <w:b/>
          <w:bCs/>
          <w:sz w:val="32"/>
          <w:szCs w:val="32"/>
        </w:rPr>
        <w:t>7. 儿童化妆品安全评估报告要求</w:t>
      </w:r>
      <w:bookmarkEnd w:id="91"/>
    </w:p>
    <w:p>
      <w:pPr>
        <w:snapToGrid w:val="0"/>
        <w:spacing w:line="560" w:lineRule="exact"/>
        <w:ind w:firstLine="643" w:firstLineChars="200"/>
        <w:outlineLvl w:val="1"/>
        <w:rPr>
          <w:rFonts w:ascii="Times New Roman" w:hAnsi="Times New Roman" w:eastAsia="仿宋" w:cs="Times New Roman"/>
          <w:b/>
          <w:bCs/>
          <w:sz w:val="32"/>
          <w:szCs w:val="32"/>
        </w:rPr>
      </w:pPr>
      <w:bookmarkStart w:id="92" w:name="_Toc100577327"/>
      <w:bookmarkStart w:id="93" w:name="_Toc14835"/>
      <w:r>
        <w:rPr>
          <w:rFonts w:ascii="Times New Roman" w:hAnsi="Times New Roman" w:eastAsia="仿宋" w:cs="Times New Roman"/>
          <w:b/>
          <w:bCs/>
          <w:sz w:val="32"/>
          <w:szCs w:val="32"/>
        </w:rPr>
        <w:t xml:space="preserve">7.1 </w:t>
      </w:r>
      <w:r>
        <w:rPr>
          <w:rFonts w:hint="eastAsia" w:ascii="Times New Roman" w:hAnsi="Times New Roman" w:eastAsia="仿宋" w:cs="Times New Roman"/>
          <w:b/>
          <w:bCs/>
          <w:sz w:val="32"/>
          <w:szCs w:val="32"/>
        </w:rPr>
        <w:t>儿童化妆品</w:t>
      </w:r>
      <w:r>
        <w:rPr>
          <w:rFonts w:ascii="Times New Roman" w:hAnsi="Times New Roman" w:eastAsia="仿宋" w:cs="Times New Roman"/>
          <w:b/>
          <w:bCs/>
          <w:sz w:val="32"/>
          <w:szCs w:val="32"/>
        </w:rPr>
        <w:t>安全评估总体要求</w:t>
      </w:r>
      <w:bookmarkEnd w:id="92"/>
      <w:r>
        <w:rPr>
          <w:rFonts w:ascii="Times New Roman" w:hAnsi="Times New Roman" w:eastAsia="仿宋" w:cs="Times New Roman"/>
          <w:b/>
          <w:bCs/>
          <w:sz w:val="32"/>
          <w:szCs w:val="32"/>
        </w:rPr>
        <w:t xml:space="preserve"> </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儿童化妆品的安全评估应当符合《化妆品安全评估技术导则》的原则和要求，以暴露为导向，结合儿童生理特点以及产品的使用</w:t>
      </w:r>
      <w:r>
        <w:rPr>
          <w:rFonts w:hint="eastAsia" w:ascii="Times New Roman" w:hAnsi="Times New Roman" w:eastAsia="仿宋_GB2312" w:cs="Times New Roman"/>
          <w:sz w:val="32"/>
          <w:szCs w:val="32"/>
        </w:rPr>
        <w:t>方法</w:t>
      </w:r>
      <w:r>
        <w:rPr>
          <w:rFonts w:ascii="Times New Roman" w:hAnsi="Times New Roman" w:eastAsia="仿宋_GB2312" w:cs="Times New Roman"/>
          <w:sz w:val="32"/>
          <w:szCs w:val="32"/>
        </w:rPr>
        <w:t>、使用部位、使用量、残留等暴露水平进行安全评估。产品安全评估报告应当规范、完整，应当基于所有原料和风险物质进行评估，并获得正确的评估结论。</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由于儿童的体重通常低于成人，</w:t>
      </w:r>
      <w:r>
        <w:rPr>
          <w:rFonts w:hint="eastAsia" w:ascii="Times New Roman" w:hAnsi="Times New Roman" w:eastAsia="仿宋_GB2312" w:cs="Times New Roman"/>
          <w:sz w:val="32"/>
          <w:szCs w:val="32"/>
        </w:rPr>
        <w:t>按</w:t>
      </w:r>
      <w:r>
        <w:rPr>
          <w:rFonts w:ascii="Times New Roman" w:hAnsi="Times New Roman" w:eastAsia="仿宋_GB2312" w:cs="Times New Roman"/>
          <w:sz w:val="32"/>
          <w:szCs w:val="32"/>
        </w:rPr>
        <w:t>日常使用化妆品的习惯，会使儿童的系统暴露量高于成人，因此，同一个原料在儿童化妆品中的实际安全使用浓度要低于成人化妆品中的安全使用浓度。对化妆品进行暴露评估时，优先引用国内外化妆品研究机构评估文件或者公开发表文献中的儿童化妆品暴露数据。</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使用人群为“婴幼儿”的，在安全评估时，还应当考虑婴幼儿生理和行为发育的特点，例如一些举止动作（吸吮、抓挠等）导致的暴露量增高的可能性，以及婴幼儿代谢能力与成人的差异，因此，尽可能采用更为严格的评估数据。</w:t>
      </w:r>
    </w:p>
    <w:p>
      <w:pPr>
        <w:snapToGrid w:val="0"/>
        <w:spacing w:line="560" w:lineRule="exact"/>
        <w:ind w:firstLine="643" w:firstLineChars="200"/>
        <w:outlineLvl w:val="1"/>
        <w:rPr>
          <w:rFonts w:ascii="Times New Roman" w:hAnsi="Times New Roman" w:eastAsia="仿宋" w:cs="Times New Roman"/>
          <w:b/>
          <w:bCs/>
          <w:sz w:val="32"/>
          <w:szCs w:val="32"/>
        </w:rPr>
      </w:pPr>
      <w:bookmarkStart w:id="94" w:name="_Toc100577328"/>
      <w:r>
        <w:rPr>
          <w:rFonts w:ascii="Times New Roman" w:hAnsi="Times New Roman" w:eastAsia="仿宋" w:cs="Times New Roman"/>
          <w:b/>
          <w:bCs/>
          <w:sz w:val="32"/>
          <w:szCs w:val="32"/>
        </w:rPr>
        <w:t>7.2</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化妆品安全评估报告（简化版）要求</w:t>
      </w:r>
      <w:bookmarkEnd w:id="94"/>
    </w:p>
    <w:bookmarkEnd w:id="93"/>
    <w:p>
      <w:pPr>
        <w:snapToGrid w:val="0"/>
        <w:spacing w:line="560" w:lineRule="exact"/>
        <w:ind w:firstLine="643" w:firstLineChars="200"/>
        <w:outlineLvl w:val="1"/>
        <w:rPr>
          <w:rFonts w:ascii="Times New Roman" w:hAnsi="Times New Roman" w:eastAsia="仿宋" w:cs="Times New Roman"/>
          <w:b/>
          <w:bCs/>
          <w:sz w:val="32"/>
          <w:szCs w:val="32"/>
        </w:rPr>
      </w:pPr>
      <w:bookmarkStart w:id="95" w:name="_Toc100577329"/>
      <w:r>
        <w:rPr>
          <w:rFonts w:ascii="Times New Roman" w:hAnsi="Times New Roman" w:eastAsia="仿宋" w:cs="Times New Roman"/>
          <w:b/>
          <w:bCs/>
          <w:sz w:val="32"/>
          <w:szCs w:val="32"/>
        </w:rPr>
        <w:t>7.2.1</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原料安全评估可采用的证据</w:t>
      </w:r>
      <w:bookmarkEnd w:id="95"/>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应当按照以下顺序依次选择至少一种证据进行安全评估以确定原料安全性。</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7.2.1.1《化妆品安全技术规范》中的限用组分、准用防腐剂、准用防晒剂和准用着色剂列表中的原料，必须符合其使用要求。</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7.2.1.2 国内外权威机构已建立相关限量值或已有相关评估结论的原料，在符合我国化妆品相关法规要求的情况下，可采用其风险评估结论，评估时应当列出相关机构的名称、评估浓度、评估结论等信息；如不同的权威机构的限量值或评估结果不一致时，应当根据数据的可靠性和相关性，科学合理地采用相关评估结论。</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7.2.1.3</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采用化妆品注册人、备案人已上市（至少3年）产品中历史使用浓度进行评估的，应当注明已上市产品中的历史使用浓度，并提供（1）国产特殊化妆品和进口化妆品：注册或备案配方（须与注册或备案提交配方一致）；产品注册证书或备案凭证；产品上市证明文件；（2）国产普通化妆品：带原料含量或可计算原料含量的生产投料记录、工艺单、配料单；备案凭证；产品上市证明文件；（3）不良反应监测情况说明等证明文件，并评估是否在已批准产品浓度范围内。</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7.2.1.4</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结合产品类型正确使用《化妆品已使用原料目录》中原料最高历史使用量。</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只有驻留类产品最高历史使用量信息的原料，淋洗类产品可参照驻留类产品信息使用。但只有淋洗类产品最高历史使用量信息的原料，驻留类产品不可参照</w:t>
      </w:r>
      <w:r>
        <w:rPr>
          <w:rFonts w:hint="eastAsia" w:ascii="Times New Roman" w:hAnsi="Times New Roman" w:eastAsia="仿宋_GB2312" w:cs="Times New Roman"/>
          <w:sz w:val="32"/>
          <w:szCs w:val="32"/>
        </w:rPr>
        <w:t>淋洗</w:t>
      </w:r>
      <w:r>
        <w:rPr>
          <w:rFonts w:ascii="Times New Roman" w:hAnsi="Times New Roman" w:eastAsia="仿宋_GB2312" w:cs="Times New Roman"/>
          <w:sz w:val="32"/>
          <w:szCs w:val="32"/>
        </w:rPr>
        <w:t>类产品信息使用。</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如为类别原料中的某一具体原料，不能使用类别原料的最高历史使用量，应当使用具体原料的最高历史使用量。</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7.2.1.5</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对于无法使用上述任一证据类型的原料，应当按风险评估程序进行完整的安全评估，确保原料的使用安全。</w:t>
      </w:r>
    </w:p>
    <w:p>
      <w:pPr>
        <w:snapToGrid w:val="0"/>
        <w:spacing w:line="560" w:lineRule="exact"/>
        <w:ind w:firstLine="643" w:firstLineChars="200"/>
        <w:outlineLvl w:val="1"/>
        <w:rPr>
          <w:rFonts w:ascii="Times New Roman" w:hAnsi="Times New Roman" w:eastAsia="仿宋" w:cs="Times New Roman"/>
          <w:b/>
          <w:bCs/>
          <w:sz w:val="32"/>
          <w:szCs w:val="32"/>
        </w:rPr>
      </w:pPr>
      <w:bookmarkStart w:id="96" w:name="_Toc100577330"/>
      <w:r>
        <w:rPr>
          <w:rFonts w:ascii="Times New Roman" w:hAnsi="Times New Roman" w:eastAsia="仿宋" w:cs="Times New Roman"/>
          <w:b/>
          <w:bCs/>
          <w:sz w:val="32"/>
          <w:szCs w:val="32"/>
        </w:rPr>
        <w:t>7.2.2 配方设计原则</w:t>
      </w:r>
      <w:bookmarkEnd w:id="96"/>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儿童化妆品进行评估时应当明确产品配方设计的安全优先、功效必需、配方极简的原则，并对配方使用原料的科学性和必要性进行说明</w:t>
      </w:r>
      <w:r>
        <w:rPr>
          <w:rFonts w:hint="eastAsia" w:ascii="Times New Roman" w:hAnsi="Times New Roman" w:eastAsia="仿宋_GB2312" w:cs="Times New Roman"/>
          <w:sz w:val="32"/>
          <w:szCs w:val="32"/>
        </w:rPr>
        <w:t>，具体要求详见第3.2部分和第3.3部分</w:t>
      </w:r>
      <w:r>
        <w:rPr>
          <w:rFonts w:ascii="Times New Roman" w:hAnsi="Times New Roman" w:eastAsia="仿宋_GB2312" w:cs="Times New Roman"/>
          <w:sz w:val="32"/>
          <w:szCs w:val="32"/>
        </w:rPr>
        <w:t>。</w:t>
      </w:r>
    </w:p>
    <w:p>
      <w:pPr>
        <w:snapToGrid w:val="0"/>
        <w:spacing w:line="560" w:lineRule="exact"/>
        <w:ind w:firstLine="643" w:firstLineChars="200"/>
        <w:outlineLvl w:val="1"/>
        <w:rPr>
          <w:rFonts w:ascii="Times New Roman" w:hAnsi="Times New Roman" w:eastAsia="仿宋" w:cs="Times New Roman"/>
          <w:b/>
          <w:bCs/>
          <w:sz w:val="32"/>
          <w:szCs w:val="32"/>
        </w:rPr>
      </w:pPr>
      <w:bookmarkStart w:id="97" w:name="_Toc100577331"/>
      <w:r>
        <w:rPr>
          <w:rFonts w:ascii="Times New Roman" w:hAnsi="Times New Roman" w:eastAsia="仿宋" w:cs="Times New Roman"/>
          <w:b/>
          <w:bCs/>
          <w:sz w:val="32"/>
          <w:szCs w:val="32"/>
        </w:rPr>
        <w:t>7.2.3 香精的评估</w:t>
      </w:r>
      <w:bookmarkEnd w:id="97"/>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香精为类别原料，不能使用《已使用化妆品原料目录》中“香精”最高历史使用量，应当提供产品所用香精符合国际日用香料协会（IFRA）实践法规要求或符合我国相关国家标准的证明文件。</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产品配方表中同时填写“香精”及香精中的具体香料组分的，应当提交香精原料生产商出具的关于该香精所含全部香料组分种类及含量的资料，并对每种香料组分进行安全评估。</w:t>
      </w:r>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对含有26种致敏性组分的香精或者香料，应当进行充分安全评估。</w:t>
      </w:r>
    </w:p>
    <w:p>
      <w:pPr>
        <w:snapToGrid w:val="0"/>
        <w:spacing w:line="560" w:lineRule="exact"/>
        <w:ind w:firstLine="643" w:firstLineChars="200"/>
        <w:outlineLvl w:val="1"/>
        <w:rPr>
          <w:rFonts w:ascii="Times New Roman" w:hAnsi="Times New Roman" w:eastAsia="仿宋" w:cs="Times New Roman"/>
          <w:b/>
          <w:bCs/>
          <w:sz w:val="32"/>
          <w:szCs w:val="32"/>
        </w:rPr>
      </w:pPr>
      <w:bookmarkStart w:id="98" w:name="_Toc100577332"/>
      <w:r>
        <w:rPr>
          <w:rFonts w:ascii="Times New Roman" w:hAnsi="Times New Roman" w:eastAsia="仿宋" w:cs="Times New Roman"/>
          <w:b/>
          <w:bCs/>
          <w:sz w:val="32"/>
          <w:szCs w:val="32"/>
        </w:rPr>
        <w:t>7.2.4</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风险物质的评估</w:t>
      </w:r>
      <w:bookmarkEnd w:id="98"/>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应当基于原料的来源、理化特性、制备工艺和产品生产过程产生或带入风险物质的情况分析，结合现有毒理学试验数据、临床研究、人群流行病学调查等资料，识别化妆品中可能含有的风险物质，根据《化妆品安全技术规范》规定、国内外权威机构风险评估结论，或者按风险评估程序对风险物质进行安全评估。</w:t>
      </w:r>
    </w:p>
    <w:p>
      <w:pPr>
        <w:snapToGrid w:val="0"/>
        <w:spacing w:line="560" w:lineRule="exact"/>
        <w:ind w:firstLine="643" w:firstLineChars="200"/>
        <w:outlineLvl w:val="1"/>
        <w:rPr>
          <w:rFonts w:ascii="Times New Roman" w:hAnsi="Times New Roman" w:eastAsia="仿宋" w:cs="Times New Roman"/>
          <w:b/>
          <w:bCs/>
          <w:sz w:val="32"/>
          <w:szCs w:val="32"/>
        </w:rPr>
      </w:pPr>
      <w:bookmarkStart w:id="99" w:name="_Toc100577333"/>
      <w:r>
        <w:rPr>
          <w:rFonts w:ascii="Times New Roman" w:hAnsi="Times New Roman" w:eastAsia="仿宋" w:cs="Times New Roman"/>
          <w:b/>
          <w:bCs/>
          <w:sz w:val="32"/>
          <w:szCs w:val="32"/>
        </w:rPr>
        <w:t>7.2.5</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含推进剂的喷雾产品的评估</w:t>
      </w:r>
      <w:bookmarkEnd w:id="99"/>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应当将推进剂与其他原料分开评估，其他原料的评估浓度应为扣除推进剂后配方（以百分之百计）中各组分的浓度。</w:t>
      </w:r>
    </w:p>
    <w:p>
      <w:pPr>
        <w:snapToGrid w:val="0"/>
        <w:spacing w:line="560" w:lineRule="exact"/>
        <w:ind w:firstLine="643" w:firstLineChars="200"/>
        <w:outlineLvl w:val="1"/>
        <w:rPr>
          <w:rFonts w:ascii="Times New Roman" w:hAnsi="Times New Roman" w:eastAsia="仿宋" w:cs="Times New Roman"/>
          <w:b/>
          <w:bCs/>
          <w:sz w:val="32"/>
          <w:szCs w:val="32"/>
        </w:rPr>
      </w:pPr>
      <w:bookmarkStart w:id="100" w:name="_Toc100577334"/>
      <w:r>
        <w:rPr>
          <w:rFonts w:ascii="Times New Roman" w:hAnsi="Times New Roman" w:eastAsia="仿宋" w:cs="Times New Roman"/>
          <w:b/>
          <w:bCs/>
          <w:sz w:val="32"/>
          <w:szCs w:val="32"/>
        </w:rPr>
        <w:t>7.2.6</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使用贴、膜类载体材料产品的评估</w:t>
      </w:r>
      <w:bookmarkEnd w:id="100"/>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应当对贴、膜类载体材料的稳定性（是否降解、是否产生风险物质、风险物质是否迁移至内容物中等）进行充分安全评估。</w:t>
      </w:r>
    </w:p>
    <w:p>
      <w:pPr>
        <w:snapToGrid w:val="0"/>
        <w:spacing w:line="560" w:lineRule="exact"/>
        <w:ind w:firstLine="643" w:firstLineChars="200"/>
        <w:outlineLvl w:val="1"/>
        <w:rPr>
          <w:rFonts w:ascii="Times New Roman" w:hAnsi="Times New Roman" w:eastAsia="仿宋" w:cs="Times New Roman"/>
          <w:b/>
          <w:bCs/>
          <w:sz w:val="32"/>
          <w:szCs w:val="32"/>
        </w:rPr>
      </w:pPr>
      <w:bookmarkStart w:id="101" w:name="_Toc100577335"/>
      <w:r>
        <w:rPr>
          <w:rFonts w:ascii="Times New Roman" w:hAnsi="Times New Roman" w:eastAsia="仿宋" w:cs="Times New Roman"/>
          <w:b/>
          <w:bCs/>
          <w:sz w:val="32"/>
          <w:szCs w:val="32"/>
        </w:rPr>
        <w:t>7.3</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化妆品安全评估报告（完整版）要求</w:t>
      </w:r>
      <w:bookmarkEnd w:id="101"/>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化妆品安全评估报告（完整版）相较于简化版报告，原料安全评估可采用的证据类型要求不同，应当增加产品稳定性评估，其他评估内容要求相同。</w:t>
      </w:r>
    </w:p>
    <w:p>
      <w:pPr>
        <w:snapToGrid w:val="0"/>
        <w:spacing w:line="560" w:lineRule="exact"/>
        <w:ind w:firstLine="643" w:firstLineChars="200"/>
        <w:outlineLvl w:val="1"/>
        <w:rPr>
          <w:rFonts w:ascii="Times New Roman" w:hAnsi="Times New Roman" w:eastAsia="仿宋" w:cs="Times New Roman"/>
          <w:b/>
          <w:bCs/>
          <w:sz w:val="32"/>
          <w:szCs w:val="32"/>
        </w:rPr>
      </w:pPr>
      <w:bookmarkStart w:id="102" w:name="_Toc100577336"/>
      <w:r>
        <w:rPr>
          <w:rFonts w:ascii="Times New Roman" w:hAnsi="Times New Roman" w:eastAsia="仿宋" w:cs="Times New Roman"/>
          <w:b/>
          <w:bCs/>
          <w:sz w:val="32"/>
          <w:szCs w:val="32"/>
        </w:rPr>
        <w:t>7.3.1</w:t>
      </w:r>
      <w:r>
        <w:rPr>
          <w:rFonts w:hint="eastAsia" w:ascii="Times New Roman" w:hAnsi="Times New Roman" w:eastAsia="仿宋" w:cs="Times New Roman"/>
          <w:b/>
          <w:bCs/>
          <w:sz w:val="32"/>
          <w:szCs w:val="32"/>
        </w:rPr>
        <w:t xml:space="preserve"> </w:t>
      </w:r>
      <w:r>
        <w:rPr>
          <w:rFonts w:ascii="Times New Roman" w:hAnsi="Times New Roman" w:eastAsia="仿宋" w:cs="Times New Roman"/>
          <w:b/>
          <w:bCs/>
          <w:sz w:val="32"/>
          <w:szCs w:val="32"/>
        </w:rPr>
        <w:t>原料安全评估可采用的证据类型</w:t>
      </w:r>
      <w:bookmarkEnd w:id="102"/>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应当按照以下顺序依次选择至少一种证据进行安全评估以确定原料安全性。</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7.3.1.1《化妆品安全技术规范》中的限用组分、准用防腐剂、准用防晒剂和准用着色剂列表中的原料，必须符合其使用要求。</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7.3.1.2国外权威机构已建立相关限量值或已有相关评估结论的原料，在符合我国化妆品相关法规要求的情况下，可采用其风险评估结论，评估时应当列出相关机构的名称、评估浓度、评估结论等；如不同的权威机构的限量值或评估结果不一致时，应当根据数据的可靠性和相关性，科学合理地采用相关评估结论。</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7.3.1.3对于无法使用上述任一证据类型的原料，应当按风险评估程序进行完整的安全评估，确保原料的使用安全。</w:t>
      </w:r>
    </w:p>
    <w:p>
      <w:pPr>
        <w:snapToGrid w:val="0"/>
        <w:spacing w:line="560" w:lineRule="exact"/>
        <w:ind w:firstLine="643" w:firstLineChars="200"/>
        <w:outlineLvl w:val="1"/>
        <w:rPr>
          <w:rFonts w:ascii="Times New Roman" w:hAnsi="Times New Roman" w:eastAsia="仿宋" w:cs="Times New Roman"/>
          <w:b/>
          <w:bCs/>
          <w:sz w:val="32"/>
          <w:szCs w:val="32"/>
        </w:rPr>
      </w:pPr>
      <w:bookmarkStart w:id="103" w:name="_Toc100577337"/>
      <w:r>
        <w:rPr>
          <w:rFonts w:ascii="Times New Roman" w:hAnsi="Times New Roman" w:eastAsia="仿宋" w:cs="Times New Roman"/>
          <w:b/>
          <w:bCs/>
          <w:sz w:val="32"/>
          <w:szCs w:val="32"/>
        </w:rPr>
        <w:t xml:space="preserve">7.3.2 </w:t>
      </w:r>
      <w:r>
        <w:rPr>
          <w:rFonts w:hint="eastAsia" w:ascii="Times New Roman" w:hAnsi="Times New Roman" w:eastAsia="仿宋" w:cs="Times New Roman"/>
          <w:b/>
          <w:bCs/>
          <w:sz w:val="32"/>
          <w:szCs w:val="32"/>
        </w:rPr>
        <w:t>儿童化妆品的稳定性评估</w:t>
      </w:r>
      <w:bookmarkEnd w:id="103"/>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应当结合产品的具体情况评价相关理化指标以确定产品的稳定性。确认原料之间是否存在化学和/或生物学相互作用，如相互作用产生潜在安全风险，应当进行评估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并对与内容物直接接触的容器或载体的理化稳定性及其与产品的相容性进行评估。</w:t>
      </w:r>
    </w:p>
    <w:p>
      <w:pPr>
        <w:snapToGrid w:val="0"/>
        <w:spacing w:line="560" w:lineRule="exact"/>
        <w:ind w:firstLine="643" w:firstLineChars="200"/>
        <w:outlineLvl w:val="1"/>
        <w:rPr>
          <w:rFonts w:ascii="Times New Roman" w:hAnsi="Times New Roman" w:eastAsia="仿宋" w:cs="Times New Roman"/>
          <w:b/>
          <w:bCs/>
          <w:sz w:val="32"/>
          <w:szCs w:val="32"/>
        </w:rPr>
      </w:pPr>
      <w:bookmarkStart w:id="104" w:name="_Toc100577338"/>
      <w:r>
        <w:rPr>
          <w:rFonts w:ascii="Times New Roman" w:hAnsi="Times New Roman" w:eastAsia="仿宋" w:cs="Times New Roman"/>
          <w:b/>
          <w:bCs/>
          <w:sz w:val="32"/>
          <w:szCs w:val="32"/>
        </w:rPr>
        <w:t xml:space="preserve">7.3.3 </w:t>
      </w:r>
      <w:r>
        <w:rPr>
          <w:rFonts w:hint="eastAsia" w:ascii="Times New Roman" w:hAnsi="Times New Roman" w:eastAsia="仿宋" w:cs="Times New Roman"/>
          <w:b/>
          <w:bCs/>
          <w:sz w:val="32"/>
          <w:szCs w:val="32"/>
        </w:rPr>
        <w:t>其他评估内容要求</w:t>
      </w:r>
      <w:bookmarkEnd w:id="104"/>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完整</w:t>
      </w:r>
      <w:r>
        <w:rPr>
          <w:rFonts w:ascii="Times New Roman" w:hAnsi="Times New Roman" w:eastAsia="仿宋_GB2312" w:cs="Times New Roman"/>
          <w:sz w:val="32"/>
          <w:szCs w:val="32"/>
        </w:rPr>
        <w:t>版报告</w:t>
      </w:r>
      <w:r>
        <w:rPr>
          <w:rFonts w:hint="eastAsia" w:ascii="Times New Roman" w:hAnsi="Times New Roman" w:eastAsia="仿宋_GB2312" w:cs="Times New Roman"/>
          <w:sz w:val="32"/>
          <w:szCs w:val="32"/>
        </w:rPr>
        <w:t>中其他评估内容的技术要求</w:t>
      </w:r>
      <w:r>
        <w:rPr>
          <w:rFonts w:ascii="Times New Roman" w:hAnsi="Times New Roman" w:eastAsia="仿宋_GB2312" w:cs="Times New Roman"/>
          <w:sz w:val="32"/>
          <w:szCs w:val="32"/>
        </w:rPr>
        <w:t>与简化版报告的第7.2.2至第7.2.6</w:t>
      </w:r>
      <w:r>
        <w:rPr>
          <w:rFonts w:hint="eastAsia" w:ascii="Times New Roman" w:hAnsi="Times New Roman" w:eastAsia="仿宋_GB2312" w:cs="Times New Roman"/>
          <w:sz w:val="32"/>
          <w:szCs w:val="32"/>
        </w:rPr>
        <w:t>部分</w:t>
      </w:r>
      <w:r>
        <w:rPr>
          <w:rFonts w:ascii="Times New Roman" w:hAnsi="Times New Roman" w:eastAsia="仿宋_GB2312" w:cs="Times New Roman"/>
          <w:sz w:val="32"/>
          <w:szCs w:val="32"/>
        </w:rPr>
        <w:t>相同。</w:t>
      </w:r>
    </w:p>
    <w:p>
      <w:pPr>
        <w:snapToGrid w:val="0"/>
        <w:spacing w:line="560" w:lineRule="exact"/>
        <w:ind w:firstLine="640" w:firstLineChars="200"/>
        <w:rPr>
          <w:rFonts w:ascii="Times New Roman" w:hAnsi="Times New Roman" w:eastAsia="仿宋_GB2312" w:cs="Times New Roman"/>
          <w:sz w:val="32"/>
          <w:szCs w:val="32"/>
        </w:rPr>
      </w:pPr>
    </w:p>
    <w:p>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附件：香精香料中可能含有的26种致敏性组分</w:t>
      </w:r>
    </w:p>
    <w:p>
      <w:pPr>
        <w:widowControl/>
        <w:spacing w:line="56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p>
      <w:pPr>
        <w:snapToGrid w:val="0"/>
        <w:spacing w:line="360" w:lineRule="auto"/>
        <w:outlineLvl w:val="1"/>
        <w:rPr>
          <w:rFonts w:ascii="黑体" w:hAnsi="黑体" w:eastAsia="黑体" w:cs="黑体"/>
          <w:sz w:val="32"/>
          <w:szCs w:val="32"/>
        </w:rPr>
      </w:pPr>
      <w:bookmarkStart w:id="105" w:name="_Toc100577339"/>
      <w:r>
        <w:rPr>
          <w:rFonts w:hint="eastAsia" w:ascii="黑体" w:hAnsi="黑体" w:eastAsia="黑体" w:cs="黑体"/>
          <w:sz w:val="32"/>
          <w:szCs w:val="32"/>
        </w:rPr>
        <w:t>附件</w:t>
      </w:r>
      <w:bookmarkEnd w:id="105"/>
    </w:p>
    <w:tbl>
      <w:tblPr>
        <w:tblStyle w:val="16"/>
        <w:tblW w:w="83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2241"/>
        <w:gridCol w:w="2977"/>
        <w:gridCol w:w="2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b/>
                <w:color w:val="000000"/>
                <w:sz w:val="30"/>
                <w:szCs w:val="30"/>
              </w:rPr>
            </w:pPr>
            <w:r>
              <w:rPr>
                <w:rFonts w:hint="eastAsia" w:ascii="Times New Roman" w:hAnsi="Times New Roman" w:eastAsia="仿宋_GB2312" w:cs="Times New Roman"/>
                <w:b/>
                <w:color w:val="000000"/>
                <w:sz w:val="30"/>
                <w:szCs w:val="30"/>
              </w:rPr>
              <w:t>序号</w:t>
            </w:r>
          </w:p>
        </w:tc>
        <w:tc>
          <w:tcPr>
            <w:tcW w:w="2241" w:type="dxa"/>
          </w:tcPr>
          <w:p>
            <w:pPr>
              <w:snapToGrid w:val="0"/>
              <w:spacing w:line="360" w:lineRule="auto"/>
              <w:jc w:val="center"/>
              <w:rPr>
                <w:rFonts w:ascii="Times New Roman" w:hAnsi="Times New Roman" w:eastAsia="仿宋_GB2312" w:cs="Times New Roman"/>
                <w:b/>
                <w:color w:val="000000"/>
                <w:sz w:val="30"/>
                <w:szCs w:val="30"/>
              </w:rPr>
            </w:pPr>
            <w:r>
              <w:rPr>
                <w:rFonts w:ascii="Times New Roman" w:hAnsi="Times New Roman" w:eastAsia="仿宋_GB2312" w:cs="Times New Roman"/>
                <w:b/>
                <w:color w:val="000000"/>
                <w:sz w:val="30"/>
                <w:szCs w:val="30"/>
              </w:rPr>
              <w:t>中文名称</w:t>
            </w:r>
          </w:p>
        </w:tc>
        <w:tc>
          <w:tcPr>
            <w:tcW w:w="2977" w:type="dxa"/>
          </w:tcPr>
          <w:p>
            <w:pPr>
              <w:snapToGrid w:val="0"/>
              <w:spacing w:line="360" w:lineRule="auto"/>
              <w:jc w:val="center"/>
              <w:rPr>
                <w:rFonts w:ascii="Times New Roman" w:hAnsi="Times New Roman" w:eastAsia="仿宋_GB2312" w:cs="Times New Roman"/>
                <w:b/>
                <w:color w:val="000000"/>
                <w:sz w:val="30"/>
                <w:szCs w:val="30"/>
              </w:rPr>
            </w:pPr>
            <w:r>
              <w:rPr>
                <w:rFonts w:hint="eastAsia" w:ascii="Times New Roman" w:hAnsi="Times New Roman" w:eastAsia="仿宋_GB2312" w:cs="Times New Roman"/>
                <w:b/>
                <w:color w:val="000000"/>
                <w:sz w:val="30"/>
                <w:szCs w:val="30"/>
              </w:rPr>
              <w:t>INCI名称/</w:t>
            </w:r>
            <w:r>
              <w:rPr>
                <w:rFonts w:ascii="Times New Roman" w:hAnsi="Times New Roman" w:eastAsia="仿宋_GB2312" w:cs="Times New Roman"/>
                <w:b/>
                <w:color w:val="000000"/>
                <w:sz w:val="30"/>
                <w:szCs w:val="30"/>
              </w:rPr>
              <w:t>英文名称</w:t>
            </w:r>
          </w:p>
        </w:tc>
        <w:tc>
          <w:tcPr>
            <w:tcW w:w="2318" w:type="dxa"/>
          </w:tcPr>
          <w:p>
            <w:pPr>
              <w:snapToGrid w:val="0"/>
              <w:spacing w:line="360" w:lineRule="auto"/>
              <w:jc w:val="center"/>
              <w:rPr>
                <w:rFonts w:ascii="Times New Roman" w:hAnsi="Times New Roman" w:eastAsia="仿宋_GB2312" w:cs="Times New Roman"/>
                <w:b/>
                <w:color w:val="000000"/>
                <w:sz w:val="30"/>
                <w:szCs w:val="30"/>
              </w:rPr>
            </w:pPr>
            <w:r>
              <w:rPr>
                <w:rFonts w:ascii="Times New Roman" w:hAnsi="Times New Roman" w:eastAsia="仿宋_GB2312" w:cs="Times New Roman"/>
                <w:b/>
                <w:color w:val="000000"/>
                <w:sz w:val="30"/>
                <w:szCs w:val="30"/>
              </w:rPr>
              <w:t>CAS号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戊基肉桂醛</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Amyl cinnamal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122-40-7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2</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戊基肉桂醇</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Amyl cinnamyl alcohol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101-85-9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3</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茴香醇</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Anisyl alcohol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105-13-5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4</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苯甲醇</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Benzyl alcohol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100-51-6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5</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苯甲酸苄酯</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Benzyl benzoate</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120-51-4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6</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肉桂酸苄酯</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Benzyl cinnamate</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103-41-3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7</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水杨酸苄酯</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Benzyl salicylate</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118-58-1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8</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丁苯基甲基丙醛</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Butylphenyl methyl propional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80-54-6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9</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肉桂醛</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Cinnamal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104-55-2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10</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肉桂醇</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Cinnamyl alcohol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104-54-1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11</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柠檬醛</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Citral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5392-40-5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12</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香茅醇</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Citronellol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106-22-9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13</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香豆素</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Coumarin</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91-64-5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14</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丁香酚</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Eugenol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97-53-0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15</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金合欢醇</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Farnesol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4602-84-0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16</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香叶醇</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Geraniol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106-24-1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17</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己基肉桂醛</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Hexyl cinnamaldehyde</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101-86-0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18</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羟基香茅醛</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Hydroxycitronellal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107-75-5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19</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羟异己基-3-环己烯甲醛</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Hydroxyisohexyl 3-cyclohexene carboxaldehyde</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31906-04-4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20</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异丁香酚</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Isoeugenol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97-54-1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21</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α-异甲基紫罗兰酮</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A</w:t>
            </w:r>
            <w:r>
              <w:rPr>
                <w:rFonts w:ascii="Times New Roman" w:hAnsi="Times New Roman" w:eastAsia="仿宋_GB2312" w:cs="Times New Roman"/>
                <w:color w:val="000000"/>
                <w:sz w:val="30"/>
                <w:szCs w:val="30"/>
              </w:rPr>
              <w:t>lpha-Isomethyl ionone</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127-51-5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22</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苧烯</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i/>
                <w:color w:val="000000"/>
                <w:sz w:val="30"/>
                <w:szCs w:val="30"/>
              </w:rPr>
              <w:t>d</w:t>
            </w:r>
            <w:r>
              <w:rPr>
                <w:rFonts w:ascii="Times New Roman" w:hAnsi="Times New Roman" w:eastAsia="仿宋_GB2312" w:cs="Times New Roman"/>
                <w:color w:val="000000"/>
                <w:sz w:val="30"/>
                <w:szCs w:val="30"/>
              </w:rPr>
              <w:t>-Limonene</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5989-27-5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23</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芳樟醇</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Linalool</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78-70-6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24</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2-辛炔酸甲酯</w:t>
            </w:r>
          </w:p>
        </w:tc>
        <w:tc>
          <w:tcPr>
            <w:tcW w:w="2977" w:type="dxa"/>
          </w:tcPr>
          <w:p>
            <w:pPr>
              <w:pStyle w:val="41"/>
              <w:jc w:val="center"/>
              <w:rPr>
                <w:rFonts w:ascii="Times New Roman" w:eastAsia="仿宋_GB2312" w:cs="Times New Roman"/>
                <w:sz w:val="30"/>
                <w:szCs w:val="30"/>
              </w:rPr>
            </w:pPr>
            <w:r>
              <w:rPr>
                <w:rFonts w:ascii="Times New Roman" w:eastAsia="仿宋_GB2312" w:cs="Times New Roman"/>
                <w:kern w:val="2"/>
                <w:sz w:val="30"/>
                <w:szCs w:val="30"/>
              </w:rPr>
              <w:t>Methyl 2-octynoate</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111-12-6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25</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橡苔提取物</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Oakmoss</w:t>
            </w:r>
            <w:r>
              <w:rPr>
                <w:rFonts w:hint="eastAsia" w:ascii="Times New Roman" w:hAnsi="Times New Roman" w:eastAsia="仿宋_GB2312" w:cs="Times New Roman"/>
                <w:color w:val="000000"/>
                <w:sz w:val="30"/>
                <w:szCs w:val="30"/>
              </w:rPr>
              <w:t>（</w:t>
            </w:r>
            <w:r>
              <w:rPr>
                <w:rFonts w:hint="eastAsia" w:ascii="Times New Roman" w:hAnsi="Times New Roman" w:eastAsia="仿宋_GB2312" w:cs="Times New Roman"/>
                <w:i/>
                <w:color w:val="000000"/>
                <w:sz w:val="30"/>
                <w:szCs w:val="30"/>
              </w:rPr>
              <w:t>Eve</w:t>
            </w:r>
            <w:r>
              <w:rPr>
                <w:rFonts w:ascii="Times New Roman" w:hAnsi="Times New Roman" w:eastAsia="仿宋_GB2312" w:cs="Times New Roman"/>
                <w:i/>
                <w:color w:val="000000"/>
                <w:sz w:val="30"/>
                <w:szCs w:val="30"/>
              </w:rPr>
              <w:t>rnia prunastri</w:t>
            </w:r>
            <w:r>
              <w:rPr>
                <w:rFonts w:hint="eastAsia" w:ascii="Times New Roman" w:hAnsi="Times New Roman" w:eastAsia="仿宋_GB2312" w:cs="Times New Roman"/>
                <w:color w:val="000000"/>
                <w:sz w:val="30"/>
                <w:szCs w:val="30"/>
              </w:rPr>
              <w:t>）</w:t>
            </w:r>
            <w:r>
              <w:rPr>
                <w:rFonts w:ascii="Times New Roman" w:hAnsi="Times New Roman" w:eastAsia="仿宋_GB2312" w:cs="Times New Roman"/>
                <w:color w:val="000000"/>
                <w:sz w:val="30"/>
                <w:szCs w:val="30"/>
              </w:rPr>
              <w:t>Extract</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90028-68-5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4" w:type="dxa"/>
          </w:tcPr>
          <w:p>
            <w:pPr>
              <w:snapToGrid w:val="0"/>
              <w:spacing w:line="360" w:lineRule="auto"/>
              <w:jc w:val="center"/>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26</w:t>
            </w:r>
          </w:p>
        </w:tc>
        <w:tc>
          <w:tcPr>
            <w:tcW w:w="2241"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树苔提取物</w:t>
            </w:r>
          </w:p>
        </w:tc>
        <w:tc>
          <w:tcPr>
            <w:tcW w:w="2977"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tree moss</w:t>
            </w:r>
            <w:r>
              <w:rPr>
                <w:rFonts w:hint="eastAsia" w:ascii="Times New Roman" w:hAnsi="Times New Roman" w:eastAsia="仿宋_GB2312" w:cs="Times New Roman"/>
                <w:color w:val="000000"/>
                <w:sz w:val="30"/>
                <w:szCs w:val="30"/>
              </w:rPr>
              <w:t>（</w:t>
            </w:r>
            <w:r>
              <w:rPr>
                <w:rFonts w:hint="eastAsia" w:ascii="Times New Roman" w:hAnsi="Times New Roman" w:eastAsia="仿宋_GB2312" w:cs="Times New Roman"/>
                <w:i/>
                <w:color w:val="000000"/>
                <w:sz w:val="30"/>
                <w:szCs w:val="30"/>
              </w:rPr>
              <w:t>Eve</w:t>
            </w:r>
            <w:r>
              <w:rPr>
                <w:rFonts w:ascii="Times New Roman" w:hAnsi="Times New Roman" w:eastAsia="仿宋_GB2312" w:cs="Times New Roman"/>
                <w:i/>
                <w:color w:val="000000"/>
                <w:sz w:val="30"/>
                <w:szCs w:val="30"/>
              </w:rPr>
              <w:t>rnia furfuracea</w:t>
            </w:r>
            <w:r>
              <w:rPr>
                <w:rFonts w:hint="eastAsia" w:ascii="Times New Roman" w:hAnsi="Times New Roman" w:eastAsia="仿宋_GB2312" w:cs="Times New Roman"/>
                <w:color w:val="000000"/>
                <w:sz w:val="30"/>
                <w:szCs w:val="30"/>
              </w:rPr>
              <w:t>）</w:t>
            </w:r>
            <w:r>
              <w:rPr>
                <w:rFonts w:ascii="Times New Roman" w:hAnsi="Times New Roman" w:eastAsia="仿宋_GB2312" w:cs="Times New Roman"/>
                <w:color w:val="000000"/>
                <w:sz w:val="30"/>
                <w:szCs w:val="30"/>
              </w:rPr>
              <w:t xml:space="preserve"> extract</w:t>
            </w:r>
          </w:p>
        </w:tc>
        <w:tc>
          <w:tcPr>
            <w:tcW w:w="2318" w:type="dxa"/>
          </w:tcPr>
          <w:p>
            <w:pPr>
              <w:snapToGrid w:val="0"/>
              <w:spacing w:line="360" w:lineRule="auto"/>
              <w:jc w:val="center"/>
              <w:rPr>
                <w:rFonts w:ascii="Times New Roman" w:hAnsi="Times New Roman" w:eastAsia="仿宋_GB2312" w:cs="Times New Roman"/>
                <w:color w:val="000000"/>
                <w:sz w:val="30"/>
                <w:szCs w:val="30"/>
              </w:rPr>
            </w:pPr>
            <w:r>
              <w:rPr>
                <w:rFonts w:ascii="Times New Roman" w:hAnsi="Times New Roman" w:eastAsia="仿宋_GB2312" w:cs="Times New Roman"/>
                <w:color w:val="000000"/>
                <w:sz w:val="30"/>
                <w:szCs w:val="30"/>
              </w:rPr>
              <w:t>90028-67-4</w:t>
            </w:r>
          </w:p>
        </w:tc>
      </w:tr>
    </w:tbl>
    <w:p>
      <w:pPr>
        <w:snapToGrid w:val="0"/>
        <w:spacing w:line="360" w:lineRule="auto"/>
        <w:ind w:firstLine="640" w:firstLineChars="200"/>
        <w:rPr>
          <w:rFonts w:ascii="Times New Roman" w:hAnsi="Times New Roman" w:eastAsia="仿宋_GB2312" w:cs="Times New Roman"/>
          <w:sz w:val="32"/>
          <w:szCs w:val="32"/>
        </w:rPr>
      </w:pPr>
    </w:p>
    <w:p>
      <w:pPr>
        <w:snapToGrid w:val="0"/>
        <w:spacing w:line="360" w:lineRule="auto"/>
        <w:jc w:val="center"/>
        <w:outlineLvl w:val="1"/>
        <w:rPr>
          <w:rFonts w:ascii="Times New Roman" w:hAnsi="Times New Roman" w:eastAsia="仿宋_GB2312" w:cs="Times New Roman"/>
          <w:sz w:val="32"/>
          <w:szCs w:val="32"/>
        </w:rPr>
      </w:pPr>
    </w:p>
    <w:sectPr>
      <w:footerReference r:id="rId3" w:type="default"/>
      <w:footerReference r:id="rId4" w:type="even"/>
      <w:pgSz w:w="11906" w:h="16838"/>
      <w:pgMar w:top="1440" w:right="1800" w:bottom="1440" w:left="1800" w:header="851" w:footer="992" w:gutter="0"/>
      <w:pgNumType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EUAlbertina">
    <w:altName w:val="宋体"/>
    <w:panose1 w:val="00000000000000000000"/>
    <w:charset w:val="86"/>
    <w:family w:val="roma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798961"/>
    </w:sdtPr>
    <w:sdtEndPr>
      <w:rPr>
        <w:sz w:val="21"/>
        <w:szCs w:val="21"/>
      </w:rPr>
    </w:sdtEndPr>
    <w:sdtContent>
      <w:sdt>
        <w:sdtPr>
          <w:id w:val="-1669238322"/>
        </w:sdtPr>
        <w:sdtEndPr>
          <w:rPr>
            <w:sz w:val="21"/>
            <w:szCs w:val="21"/>
          </w:rPr>
        </w:sdtEndPr>
        <w:sdtContent>
          <w:p>
            <w:pPr>
              <w:pStyle w:val="8"/>
              <w:jc w:val="center"/>
              <w:rPr>
                <w:sz w:val="21"/>
                <w:szCs w:val="21"/>
              </w:rPr>
            </w:pPr>
            <w:r>
              <w:rPr>
                <w:sz w:val="21"/>
                <w:szCs w:val="21"/>
                <w:lang w:val="zh-CN"/>
              </w:rPr>
              <w:t xml:space="preserve"> </w:t>
            </w:r>
            <w:r>
              <w:rPr>
                <w:b/>
                <w:bCs/>
                <w:sz w:val="21"/>
                <w:szCs w:val="21"/>
              </w:rPr>
              <w:fldChar w:fldCharType="begin"/>
            </w:r>
            <w:r>
              <w:rPr>
                <w:b/>
                <w:bCs/>
                <w:sz w:val="21"/>
                <w:szCs w:val="21"/>
              </w:rPr>
              <w:instrText xml:space="preserve">PAGE</w:instrText>
            </w:r>
            <w:r>
              <w:rPr>
                <w:b/>
                <w:bCs/>
                <w:sz w:val="21"/>
                <w:szCs w:val="21"/>
              </w:rPr>
              <w:fldChar w:fldCharType="separate"/>
            </w:r>
            <w:r>
              <w:rPr>
                <w:b/>
                <w:bCs/>
                <w:sz w:val="21"/>
                <w:szCs w:val="21"/>
              </w:rPr>
              <w:t>26</w:t>
            </w:r>
            <w:r>
              <w:rPr>
                <w:b/>
                <w:bCs/>
                <w:sz w:val="21"/>
                <w:szCs w:val="21"/>
              </w:rPr>
              <w:fldChar w:fldCharType="end"/>
            </w:r>
            <w:r>
              <w:rPr>
                <w:sz w:val="21"/>
                <w:szCs w:val="21"/>
                <w:lang w:val="zh-CN"/>
              </w:rPr>
              <w:t xml:space="preserve"> / </w:t>
            </w:r>
            <w:r>
              <w:rPr>
                <w:b/>
                <w:bCs/>
                <w:sz w:val="21"/>
                <w:szCs w:val="21"/>
              </w:rPr>
              <w:fldChar w:fldCharType="begin"/>
            </w:r>
            <w:r>
              <w:rPr>
                <w:b/>
                <w:bCs/>
                <w:sz w:val="21"/>
                <w:szCs w:val="21"/>
              </w:rPr>
              <w:instrText xml:space="preserve">NUMPAGES</w:instrText>
            </w:r>
            <w:r>
              <w:rPr>
                <w:b/>
                <w:bCs/>
                <w:sz w:val="21"/>
                <w:szCs w:val="21"/>
              </w:rPr>
              <w:fldChar w:fldCharType="separate"/>
            </w:r>
            <w:r>
              <w:rPr>
                <w:b/>
                <w:bCs/>
                <w:sz w:val="21"/>
                <w:szCs w:val="21"/>
              </w:rPr>
              <w:t>28</w:t>
            </w:r>
            <w:r>
              <w:rPr>
                <w:b/>
                <w:bCs/>
                <w:sz w:val="21"/>
                <w:szCs w:val="21"/>
              </w:rPr>
              <w:fldChar w:fldCharType="end"/>
            </w:r>
          </w:p>
        </w:sdtContent>
      </w:sdt>
    </w:sdtContent>
  </w:sdt>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8"/>
      </w:rPr>
    </w:pPr>
    <w:r>
      <w:rPr>
        <w:rStyle w:val="18"/>
      </w:rPr>
      <w:fldChar w:fldCharType="begin"/>
    </w:r>
    <w:r>
      <w:rPr>
        <w:rStyle w:val="18"/>
      </w:rPr>
      <w:instrText xml:space="preserve">PAGE  </w:instrText>
    </w:r>
    <w:r>
      <w:rPr>
        <w:rStyle w:val="18"/>
      </w:rPr>
      <w:fldChar w:fldCharType="end"/>
    </w:r>
  </w:p>
  <w:p>
    <w:pPr>
      <w:pStyle w:val="8"/>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B78"/>
    <w:rsid w:val="00001077"/>
    <w:rsid w:val="00003E82"/>
    <w:rsid w:val="00023DB0"/>
    <w:rsid w:val="00025330"/>
    <w:rsid w:val="000265FE"/>
    <w:rsid w:val="00027A76"/>
    <w:rsid w:val="000329C1"/>
    <w:rsid w:val="00037D7F"/>
    <w:rsid w:val="00047A50"/>
    <w:rsid w:val="00054681"/>
    <w:rsid w:val="00056B64"/>
    <w:rsid w:val="00056C90"/>
    <w:rsid w:val="00060852"/>
    <w:rsid w:val="0006146E"/>
    <w:rsid w:val="00064BA5"/>
    <w:rsid w:val="00065FBD"/>
    <w:rsid w:val="00074215"/>
    <w:rsid w:val="00091FD2"/>
    <w:rsid w:val="000A0CB5"/>
    <w:rsid w:val="000A3536"/>
    <w:rsid w:val="000B228F"/>
    <w:rsid w:val="000B3548"/>
    <w:rsid w:val="000C4728"/>
    <w:rsid w:val="000C6037"/>
    <w:rsid w:val="000C7C23"/>
    <w:rsid w:val="000D1946"/>
    <w:rsid w:val="000D2345"/>
    <w:rsid w:val="000D4149"/>
    <w:rsid w:val="000F6063"/>
    <w:rsid w:val="000F7073"/>
    <w:rsid w:val="00100ADB"/>
    <w:rsid w:val="00101122"/>
    <w:rsid w:val="00101451"/>
    <w:rsid w:val="00102DB6"/>
    <w:rsid w:val="001050AD"/>
    <w:rsid w:val="00120A5E"/>
    <w:rsid w:val="00120BA2"/>
    <w:rsid w:val="00121A7D"/>
    <w:rsid w:val="0012297C"/>
    <w:rsid w:val="00137478"/>
    <w:rsid w:val="00137693"/>
    <w:rsid w:val="00141E85"/>
    <w:rsid w:val="00142380"/>
    <w:rsid w:val="00152560"/>
    <w:rsid w:val="00152B92"/>
    <w:rsid w:val="001532A5"/>
    <w:rsid w:val="00157C59"/>
    <w:rsid w:val="001624A7"/>
    <w:rsid w:val="001628C9"/>
    <w:rsid w:val="00164023"/>
    <w:rsid w:val="0016766A"/>
    <w:rsid w:val="00173073"/>
    <w:rsid w:val="00177955"/>
    <w:rsid w:val="001815E4"/>
    <w:rsid w:val="001821A6"/>
    <w:rsid w:val="00183C42"/>
    <w:rsid w:val="00186586"/>
    <w:rsid w:val="00190407"/>
    <w:rsid w:val="0019496C"/>
    <w:rsid w:val="001B376A"/>
    <w:rsid w:val="001B44DB"/>
    <w:rsid w:val="001B6DD1"/>
    <w:rsid w:val="001C3C88"/>
    <w:rsid w:val="001C5CE6"/>
    <w:rsid w:val="001F232A"/>
    <w:rsid w:val="0020409F"/>
    <w:rsid w:val="002105E5"/>
    <w:rsid w:val="0021520D"/>
    <w:rsid w:val="002165C5"/>
    <w:rsid w:val="00221037"/>
    <w:rsid w:val="00233FAC"/>
    <w:rsid w:val="00237BCB"/>
    <w:rsid w:val="00242A82"/>
    <w:rsid w:val="002474D0"/>
    <w:rsid w:val="0025202F"/>
    <w:rsid w:val="002545EE"/>
    <w:rsid w:val="00256306"/>
    <w:rsid w:val="00256D71"/>
    <w:rsid w:val="00263318"/>
    <w:rsid w:val="002703AD"/>
    <w:rsid w:val="002724BC"/>
    <w:rsid w:val="002728AB"/>
    <w:rsid w:val="002A24FE"/>
    <w:rsid w:val="002A34D3"/>
    <w:rsid w:val="002A5D79"/>
    <w:rsid w:val="002B23BD"/>
    <w:rsid w:val="002B2BBA"/>
    <w:rsid w:val="002B3341"/>
    <w:rsid w:val="002C0B6C"/>
    <w:rsid w:val="002C14E4"/>
    <w:rsid w:val="002D3B24"/>
    <w:rsid w:val="002E2F1F"/>
    <w:rsid w:val="002E35EA"/>
    <w:rsid w:val="002E445E"/>
    <w:rsid w:val="002E69A9"/>
    <w:rsid w:val="002F283C"/>
    <w:rsid w:val="002F5FED"/>
    <w:rsid w:val="002F631D"/>
    <w:rsid w:val="00300BB8"/>
    <w:rsid w:val="00302438"/>
    <w:rsid w:val="00306736"/>
    <w:rsid w:val="0030790F"/>
    <w:rsid w:val="0030798C"/>
    <w:rsid w:val="00312B7D"/>
    <w:rsid w:val="003172A8"/>
    <w:rsid w:val="003215CB"/>
    <w:rsid w:val="00321836"/>
    <w:rsid w:val="00322DCD"/>
    <w:rsid w:val="003244D8"/>
    <w:rsid w:val="003249A9"/>
    <w:rsid w:val="00325244"/>
    <w:rsid w:val="003325BC"/>
    <w:rsid w:val="00333A85"/>
    <w:rsid w:val="00340DB7"/>
    <w:rsid w:val="003418F5"/>
    <w:rsid w:val="0034574F"/>
    <w:rsid w:val="00346A14"/>
    <w:rsid w:val="003511A6"/>
    <w:rsid w:val="003535A1"/>
    <w:rsid w:val="00353DC4"/>
    <w:rsid w:val="00357763"/>
    <w:rsid w:val="003659BB"/>
    <w:rsid w:val="0037158A"/>
    <w:rsid w:val="003812AD"/>
    <w:rsid w:val="00381956"/>
    <w:rsid w:val="00386DA9"/>
    <w:rsid w:val="00390D22"/>
    <w:rsid w:val="00393E59"/>
    <w:rsid w:val="00397547"/>
    <w:rsid w:val="00397D88"/>
    <w:rsid w:val="003A45BC"/>
    <w:rsid w:val="003A60E5"/>
    <w:rsid w:val="003A70C8"/>
    <w:rsid w:val="003B11AA"/>
    <w:rsid w:val="003B54CE"/>
    <w:rsid w:val="003B720B"/>
    <w:rsid w:val="003C2E4A"/>
    <w:rsid w:val="003C506B"/>
    <w:rsid w:val="003D0D5C"/>
    <w:rsid w:val="003D588B"/>
    <w:rsid w:val="003E12EC"/>
    <w:rsid w:val="003E7EB5"/>
    <w:rsid w:val="003F1A43"/>
    <w:rsid w:val="003F3D9E"/>
    <w:rsid w:val="003F4460"/>
    <w:rsid w:val="003F6729"/>
    <w:rsid w:val="003F6822"/>
    <w:rsid w:val="0040172F"/>
    <w:rsid w:val="004164E0"/>
    <w:rsid w:val="004311F2"/>
    <w:rsid w:val="0043313F"/>
    <w:rsid w:val="00452B7C"/>
    <w:rsid w:val="004555EA"/>
    <w:rsid w:val="00455FEB"/>
    <w:rsid w:val="00465DC6"/>
    <w:rsid w:val="00471E56"/>
    <w:rsid w:val="00475B98"/>
    <w:rsid w:val="00477E92"/>
    <w:rsid w:val="00486984"/>
    <w:rsid w:val="00495F48"/>
    <w:rsid w:val="0049642D"/>
    <w:rsid w:val="004A2148"/>
    <w:rsid w:val="004A5950"/>
    <w:rsid w:val="004B0939"/>
    <w:rsid w:val="004B4A4B"/>
    <w:rsid w:val="004E06D7"/>
    <w:rsid w:val="004E1307"/>
    <w:rsid w:val="004E3585"/>
    <w:rsid w:val="004F0FA2"/>
    <w:rsid w:val="004F73EC"/>
    <w:rsid w:val="00516153"/>
    <w:rsid w:val="005169F4"/>
    <w:rsid w:val="005233C7"/>
    <w:rsid w:val="00527326"/>
    <w:rsid w:val="00550096"/>
    <w:rsid w:val="005507DE"/>
    <w:rsid w:val="0055663D"/>
    <w:rsid w:val="005612DD"/>
    <w:rsid w:val="00570259"/>
    <w:rsid w:val="00570752"/>
    <w:rsid w:val="00573F07"/>
    <w:rsid w:val="00574724"/>
    <w:rsid w:val="00576253"/>
    <w:rsid w:val="005779A9"/>
    <w:rsid w:val="00584237"/>
    <w:rsid w:val="00586547"/>
    <w:rsid w:val="005865B2"/>
    <w:rsid w:val="005A0354"/>
    <w:rsid w:val="005A54FB"/>
    <w:rsid w:val="005A651D"/>
    <w:rsid w:val="005A6759"/>
    <w:rsid w:val="005B0750"/>
    <w:rsid w:val="005B3160"/>
    <w:rsid w:val="005B7197"/>
    <w:rsid w:val="005C2331"/>
    <w:rsid w:val="005C40A8"/>
    <w:rsid w:val="005D1F6B"/>
    <w:rsid w:val="005D3D99"/>
    <w:rsid w:val="005E09D5"/>
    <w:rsid w:val="005E1FFB"/>
    <w:rsid w:val="00600B88"/>
    <w:rsid w:val="00601348"/>
    <w:rsid w:val="00615BEA"/>
    <w:rsid w:val="00632E0D"/>
    <w:rsid w:val="00632F41"/>
    <w:rsid w:val="00644A8D"/>
    <w:rsid w:val="006477D1"/>
    <w:rsid w:val="00650580"/>
    <w:rsid w:val="006537BB"/>
    <w:rsid w:val="00654FEA"/>
    <w:rsid w:val="00661A0B"/>
    <w:rsid w:val="006671D6"/>
    <w:rsid w:val="00670851"/>
    <w:rsid w:val="00681FF1"/>
    <w:rsid w:val="00684C27"/>
    <w:rsid w:val="00685197"/>
    <w:rsid w:val="00686E0E"/>
    <w:rsid w:val="00691799"/>
    <w:rsid w:val="00691D79"/>
    <w:rsid w:val="00695C06"/>
    <w:rsid w:val="00696600"/>
    <w:rsid w:val="006A206B"/>
    <w:rsid w:val="006A6B3E"/>
    <w:rsid w:val="006B0353"/>
    <w:rsid w:val="006B318E"/>
    <w:rsid w:val="006B3311"/>
    <w:rsid w:val="006B3501"/>
    <w:rsid w:val="006B526B"/>
    <w:rsid w:val="006C2709"/>
    <w:rsid w:val="006C28E5"/>
    <w:rsid w:val="006C307B"/>
    <w:rsid w:val="006C3B90"/>
    <w:rsid w:val="006C65F7"/>
    <w:rsid w:val="006C780D"/>
    <w:rsid w:val="006D215B"/>
    <w:rsid w:val="006D3229"/>
    <w:rsid w:val="006D56E9"/>
    <w:rsid w:val="006D67F7"/>
    <w:rsid w:val="006E2F53"/>
    <w:rsid w:val="006E6422"/>
    <w:rsid w:val="006E6E0C"/>
    <w:rsid w:val="006E73B7"/>
    <w:rsid w:val="006F59EA"/>
    <w:rsid w:val="00700302"/>
    <w:rsid w:val="00703A8A"/>
    <w:rsid w:val="00703BEB"/>
    <w:rsid w:val="0070725B"/>
    <w:rsid w:val="007108A9"/>
    <w:rsid w:val="0072047E"/>
    <w:rsid w:val="0072243B"/>
    <w:rsid w:val="007279FE"/>
    <w:rsid w:val="0073490F"/>
    <w:rsid w:val="00736E33"/>
    <w:rsid w:val="00743882"/>
    <w:rsid w:val="00747096"/>
    <w:rsid w:val="00747292"/>
    <w:rsid w:val="007602BE"/>
    <w:rsid w:val="00761EA1"/>
    <w:rsid w:val="00763814"/>
    <w:rsid w:val="00765162"/>
    <w:rsid w:val="00772EDB"/>
    <w:rsid w:val="00786600"/>
    <w:rsid w:val="0079662D"/>
    <w:rsid w:val="00797197"/>
    <w:rsid w:val="007A1384"/>
    <w:rsid w:val="007A5C82"/>
    <w:rsid w:val="007B4E78"/>
    <w:rsid w:val="007B7E16"/>
    <w:rsid w:val="007C5194"/>
    <w:rsid w:val="007C5E00"/>
    <w:rsid w:val="007E2C5C"/>
    <w:rsid w:val="007F1090"/>
    <w:rsid w:val="007F71A9"/>
    <w:rsid w:val="00804D9D"/>
    <w:rsid w:val="0080796D"/>
    <w:rsid w:val="00820C10"/>
    <w:rsid w:val="00826DB1"/>
    <w:rsid w:val="0083051F"/>
    <w:rsid w:val="00837B83"/>
    <w:rsid w:val="00840BD6"/>
    <w:rsid w:val="00842BD5"/>
    <w:rsid w:val="00850077"/>
    <w:rsid w:val="00853736"/>
    <w:rsid w:val="00856030"/>
    <w:rsid w:val="00856541"/>
    <w:rsid w:val="00870DB8"/>
    <w:rsid w:val="00874639"/>
    <w:rsid w:val="008778AE"/>
    <w:rsid w:val="00880160"/>
    <w:rsid w:val="008805E7"/>
    <w:rsid w:val="00891507"/>
    <w:rsid w:val="00893BBB"/>
    <w:rsid w:val="00896026"/>
    <w:rsid w:val="00897981"/>
    <w:rsid w:val="00897ED8"/>
    <w:rsid w:val="008A1176"/>
    <w:rsid w:val="008A44D5"/>
    <w:rsid w:val="008B13E3"/>
    <w:rsid w:val="008B5C85"/>
    <w:rsid w:val="008B5D55"/>
    <w:rsid w:val="008B7510"/>
    <w:rsid w:val="008B763D"/>
    <w:rsid w:val="008C75B0"/>
    <w:rsid w:val="008D07E3"/>
    <w:rsid w:val="008D4613"/>
    <w:rsid w:val="008E1DB7"/>
    <w:rsid w:val="008E538F"/>
    <w:rsid w:val="008F0942"/>
    <w:rsid w:val="00902BC7"/>
    <w:rsid w:val="00905D8A"/>
    <w:rsid w:val="00907320"/>
    <w:rsid w:val="00913050"/>
    <w:rsid w:val="00913C69"/>
    <w:rsid w:val="00925E51"/>
    <w:rsid w:val="009343AF"/>
    <w:rsid w:val="009422E9"/>
    <w:rsid w:val="00945861"/>
    <w:rsid w:val="00946D66"/>
    <w:rsid w:val="00947DC7"/>
    <w:rsid w:val="009643AA"/>
    <w:rsid w:val="009667BF"/>
    <w:rsid w:val="0097247F"/>
    <w:rsid w:val="00976A3C"/>
    <w:rsid w:val="00977B58"/>
    <w:rsid w:val="009816B5"/>
    <w:rsid w:val="00984666"/>
    <w:rsid w:val="009A1D3B"/>
    <w:rsid w:val="009B437F"/>
    <w:rsid w:val="009B5414"/>
    <w:rsid w:val="009B74C6"/>
    <w:rsid w:val="009C7089"/>
    <w:rsid w:val="009E5D5F"/>
    <w:rsid w:val="009E6251"/>
    <w:rsid w:val="009F1192"/>
    <w:rsid w:val="009F159C"/>
    <w:rsid w:val="00A0457E"/>
    <w:rsid w:val="00A063B2"/>
    <w:rsid w:val="00A12121"/>
    <w:rsid w:val="00A13EB3"/>
    <w:rsid w:val="00A17F73"/>
    <w:rsid w:val="00A218FC"/>
    <w:rsid w:val="00A2345F"/>
    <w:rsid w:val="00A24823"/>
    <w:rsid w:val="00A24D48"/>
    <w:rsid w:val="00A25E73"/>
    <w:rsid w:val="00A27859"/>
    <w:rsid w:val="00A2787C"/>
    <w:rsid w:val="00A312B9"/>
    <w:rsid w:val="00A333E4"/>
    <w:rsid w:val="00A3521F"/>
    <w:rsid w:val="00A352F3"/>
    <w:rsid w:val="00A40389"/>
    <w:rsid w:val="00A43713"/>
    <w:rsid w:val="00A44AED"/>
    <w:rsid w:val="00A4507C"/>
    <w:rsid w:val="00A46530"/>
    <w:rsid w:val="00A5618D"/>
    <w:rsid w:val="00A56C40"/>
    <w:rsid w:val="00A62C4A"/>
    <w:rsid w:val="00A62CD3"/>
    <w:rsid w:val="00A70CF6"/>
    <w:rsid w:val="00A7135A"/>
    <w:rsid w:val="00A719EB"/>
    <w:rsid w:val="00A77816"/>
    <w:rsid w:val="00A80232"/>
    <w:rsid w:val="00A8166D"/>
    <w:rsid w:val="00A82EA6"/>
    <w:rsid w:val="00A85439"/>
    <w:rsid w:val="00A869FF"/>
    <w:rsid w:val="00A9109E"/>
    <w:rsid w:val="00A9530A"/>
    <w:rsid w:val="00A9587D"/>
    <w:rsid w:val="00A97908"/>
    <w:rsid w:val="00AA6F66"/>
    <w:rsid w:val="00AC5596"/>
    <w:rsid w:val="00AD1AB9"/>
    <w:rsid w:val="00AD1E80"/>
    <w:rsid w:val="00AD7120"/>
    <w:rsid w:val="00AE5653"/>
    <w:rsid w:val="00AF4EC3"/>
    <w:rsid w:val="00AF5333"/>
    <w:rsid w:val="00AF669C"/>
    <w:rsid w:val="00B10495"/>
    <w:rsid w:val="00B1383B"/>
    <w:rsid w:val="00B15A16"/>
    <w:rsid w:val="00B16EE0"/>
    <w:rsid w:val="00B23421"/>
    <w:rsid w:val="00B27E3B"/>
    <w:rsid w:val="00B30085"/>
    <w:rsid w:val="00B32B0E"/>
    <w:rsid w:val="00B352DE"/>
    <w:rsid w:val="00B44925"/>
    <w:rsid w:val="00B46A4E"/>
    <w:rsid w:val="00B47BE4"/>
    <w:rsid w:val="00B545AE"/>
    <w:rsid w:val="00B54FD3"/>
    <w:rsid w:val="00B60E40"/>
    <w:rsid w:val="00B6480D"/>
    <w:rsid w:val="00B66BB6"/>
    <w:rsid w:val="00B75B78"/>
    <w:rsid w:val="00B76FF1"/>
    <w:rsid w:val="00B77B57"/>
    <w:rsid w:val="00B851C6"/>
    <w:rsid w:val="00B87A94"/>
    <w:rsid w:val="00B9588F"/>
    <w:rsid w:val="00B95C52"/>
    <w:rsid w:val="00B97B77"/>
    <w:rsid w:val="00BA0596"/>
    <w:rsid w:val="00BA1EFB"/>
    <w:rsid w:val="00BA2F01"/>
    <w:rsid w:val="00BA4E14"/>
    <w:rsid w:val="00BA6145"/>
    <w:rsid w:val="00BB6FAA"/>
    <w:rsid w:val="00BC3520"/>
    <w:rsid w:val="00BC59FD"/>
    <w:rsid w:val="00BC6CC6"/>
    <w:rsid w:val="00BD33FB"/>
    <w:rsid w:val="00BD3838"/>
    <w:rsid w:val="00BD488D"/>
    <w:rsid w:val="00BE1C95"/>
    <w:rsid w:val="00BE4374"/>
    <w:rsid w:val="00BE6CBA"/>
    <w:rsid w:val="00BF3A32"/>
    <w:rsid w:val="00BF46E6"/>
    <w:rsid w:val="00BF7120"/>
    <w:rsid w:val="00C05275"/>
    <w:rsid w:val="00C16445"/>
    <w:rsid w:val="00C24389"/>
    <w:rsid w:val="00C306F0"/>
    <w:rsid w:val="00C33CC8"/>
    <w:rsid w:val="00C34107"/>
    <w:rsid w:val="00C35442"/>
    <w:rsid w:val="00C40070"/>
    <w:rsid w:val="00C4109D"/>
    <w:rsid w:val="00C41899"/>
    <w:rsid w:val="00C41CA0"/>
    <w:rsid w:val="00C4475C"/>
    <w:rsid w:val="00C5050C"/>
    <w:rsid w:val="00C60C44"/>
    <w:rsid w:val="00C80D2B"/>
    <w:rsid w:val="00C84EE0"/>
    <w:rsid w:val="00CA2C68"/>
    <w:rsid w:val="00CA3CF8"/>
    <w:rsid w:val="00CA3D16"/>
    <w:rsid w:val="00CA5805"/>
    <w:rsid w:val="00CB0FA5"/>
    <w:rsid w:val="00CC5952"/>
    <w:rsid w:val="00CC5A00"/>
    <w:rsid w:val="00CD0866"/>
    <w:rsid w:val="00CD334F"/>
    <w:rsid w:val="00CE2638"/>
    <w:rsid w:val="00CE7BCA"/>
    <w:rsid w:val="00D0046B"/>
    <w:rsid w:val="00D15C32"/>
    <w:rsid w:val="00D22D3B"/>
    <w:rsid w:val="00D230F7"/>
    <w:rsid w:val="00D24106"/>
    <w:rsid w:val="00D3322F"/>
    <w:rsid w:val="00D35255"/>
    <w:rsid w:val="00D40E22"/>
    <w:rsid w:val="00D4312D"/>
    <w:rsid w:val="00D44769"/>
    <w:rsid w:val="00D453C4"/>
    <w:rsid w:val="00D45AFE"/>
    <w:rsid w:val="00D467FB"/>
    <w:rsid w:val="00D46FF9"/>
    <w:rsid w:val="00D52221"/>
    <w:rsid w:val="00D56026"/>
    <w:rsid w:val="00D61756"/>
    <w:rsid w:val="00D61E8D"/>
    <w:rsid w:val="00D62238"/>
    <w:rsid w:val="00D655CF"/>
    <w:rsid w:val="00D731E3"/>
    <w:rsid w:val="00D73255"/>
    <w:rsid w:val="00D77599"/>
    <w:rsid w:val="00D8238E"/>
    <w:rsid w:val="00D838B1"/>
    <w:rsid w:val="00D86D2A"/>
    <w:rsid w:val="00D939B5"/>
    <w:rsid w:val="00D93F9E"/>
    <w:rsid w:val="00DA73BF"/>
    <w:rsid w:val="00DC2A83"/>
    <w:rsid w:val="00DC2CD6"/>
    <w:rsid w:val="00DC2D8A"/>
    <w:rsid w:val="00DC4B04"/>
    <w:rsid w:val="00DC583E"/>
    <w:rsid w:val="00DC746D"/>
    <w:rsid w:val="00DC75E0"/>
    <w:rsid w:val="00DD15C3"/>
    <w:rsid w:val="00DD187D"/>
    <w:rsid w:val="00DD31DA"/>
    <w:rsid w:val="00DE1C96"/>
    <w:rsid w:val="00DE3BA8"/>
    <w:rsid w:val="00DE594D"/>
    <w:rsid w:val="00DF3383"/>
    <w:rsid w:val="00DF6E5D"/>
    <w:rsid w:val="00E008EE"/>
    <w:rsid w:val="00E03822"/>
    <w:rsid w:val="00E1000E"/>
    <w:rsid w:val="00E10B7A"/>
    <w:rsid w:val="00E22444"/>
    <w:rsid w:val="00E253E6"/>
    <w:rsid w:val="00E27E3C"/>
    <w:rsid w:val="00E337D2"/>
    <w:rsid w:val="00E353F7"/>
    <w:rsid w:val="00E3749A"/>
    <w:rsid w:val="00E43FB4"/>
    <w:rsid w:val="00E443E2"/>
    <w:rsid w:val="00E4741E"/>
    <w:rsid w:val="00E54038"/>
    <w:rsid w:val="00E55F46"/>
    <w:rsid w:val="00E619D2"/>
    <w:rsid w:val="00E64FA6"/>
    <w:rsid w:val="00E731E9"/>
    <w:rsid w:val="00E916F7"/>
    <w:rsid w:val="00E91AEA"/>
    <w:rsid w:val="00E954AD"/>
    <w:rsid w:val="00EA15FB"/>
    <w:rsid w:val="00EA318E"/>
    <w:rsid w:val="00EB2036"/>
    <w:rsid w:val="00EB2C2A"/>
    <w:rsid w:val="00EC0305"/>
    <w:rsid w:val="00ED143B"/>
    <w:rsid w:val="00EE4FC2"/>
    <w:rsid w:val="00EE59D4"/>
    <w:rsid w:val="00EF1AA5"/>
    <w:rsid w:val="00F0089B"/>
    <w:rsid w:val="00F01CF3"/>
    <w:rsid w:val="00F028E3"/>
    <w:rsid w:val="00F031DB"/>
    <w:rsid w:val="00F03EC9"/>
    <w:rsid w:val="00F0623F"/>
    <w:rsid w:val="00F16E6B"/>
    <w:rsid w:val="00F2788E"/>
    <w:rsid w:val="00F3349B"/>
    <w:rsid w:val="00F34C9E"/>
    <w:rsid w:val="00F41F8D"/>
    <w:rsid w:val="00F43F87"/>
    <w:rsid w:val="00F43F93"/>
    <w:rsid w:val="00F44AAB"/>
    <w:rsid w:val="00F505EA"/>
    <w:rsid w:val="00F53B59"/>
    <w:rsid w:val="00F56880"/>
    <w:rsid w:val="00F61212"/>
    <w:rsid w:val="00F66EC3"/>
    <w:rsid w:val="00F67696"/>
    <w:rsid w:val="00F700B4"/>
    <w:rsid w:val="00F70683"/>
    <w:rsid w:val="00F77629"/>
    <w:rsid w:val="00F8107F"/>
    <w:rsid w:val="00F81752"/>
    <w:rsid w:val="00F85BCF"/>
    <w:rsid w:val="00F9365D"/>
    <w:rsid w:val="00FA2156"/>
    <w:rsid w:val="00FB11D8"/>
    <w:rsid w:val="00FC182E"/>
    <w:rsid w:val="00FD2F85"/>
    <w:rsid w:val="00FD3391"/>
    <w:rsid w:val="00FE0F2D"/>
    <w:rsid w:val="00FF0608"/>
    <w:rsid w:val="00FF2907"/>
    <w:rsid w:val="00FF3314"/>
    <w:rsid w:val="00FF3D93"/>
    <w:rsid w:val="01032478"/>
    <w:rsid w:val="01044979"/>
    <w:rsid w:val="010C4639"/>
    <w:rsid w:val="0110566B"/>
    <w:rsid w:val="011C65A3"/>
    <w:rsid w:val="011F79D3"/>
    <w:rsid w:val="013B0DA7"/>
    <w:rsid w:val="013C4F81"/>
    <w:rsid w:val="013E61AE"/>
    <w:rsid w:val="013E727A"/>
    <w:rsid w:val="01405E0C"/>
    <w:rsid w:val="01442515"/>
    <w:rsid w:val="01472795"/>
    <w:rsid w:val="015214D5"/>
    <w:rsid w:val="01580424"/>
    <w:rsid w:val="015A4367"/>
    <w:rsid w:val="01684B55"/>
    <w:rsid w:val="016977F8"/>
    <w:rsid w:val="01834677"/>
    <w:rsid w:val="018E296D"/>
    <w:rsid w:val="01A47CA6"/>
    <w:rsid w:val="01A84A74"/>
    <w:rsid w:val="01AA2CF6"/>
    <w:rsid w:val="01AB2C1A"/>
    <w:rsid w:val="01AC69CF"/>
    <w:rsid w:val="01B1635C"/>
    <w:rsid w:val="01BB0DDA"/>
    <w:rsid w:val="01CF3979"/>
    <w:rsid w:val="01DA1960"/>
    <w:rsid w:val="01DA56DE"/>
    <w:rsid w:val="01E917F7"/>
    <w:rsid w:val="01EA67AD"/>
    <w:rsid w:val="01EC0256"/>
    <w:rsid w:val="01F250B4"/>
    <w:rsid w:val="02035E68"/>
    <w:rsid w:val="02065E64"/>
    <w:rsid w:val="02076DE1"/>
    <w:rsid w:val="02110CC4"/>
    <w:rsid w:val="02145E19"/>
    <w:rsid w:val="021B59C7"/>
    <w:rsid w:val="021F4E4B"/>
    <w:rsid w:val="0223536E"/>
    <w:rsid w:val="022D0491"/>
    <w:rsid w:val="023043DC"/>
    <w:rsid w:val="0244348C"/>
    <w:rsid w:val="02453453"/>
    <w:rsid w:val="024B2687"/>
    <w:rsid w:val="027139FA"/>
    <w:rsid w:val="02753DA8"/>
    <w:rsid w:val="027C7DDC"/>
    <w:rsid w:val="027D785F"/>
    <w:rsid w:val="027F7F26"/>
    <w:rsid w:val="02816AF1"/>
    <w:rsid w:val="02875A0D"/>
    <w:rsid w:val="028C02F3"/>
    <w:rsid w:val="028F03A2"/>
    <w:rsid w:val="028F487E"/>
    <w:rsid w:val="0292547A"/>
    <w:rsid w:val="029427C4"/>
    <w:rsid w:val="029A597D"/>
    <w:rsid w:val="02A3168B"/>
    <w:rsid w:val="02BA0F09"/>
    <w:rsid w:val="02BD394E"/>
    <w:rsid w:val="02BF2396"/>
    <w:rsid w:val="02D37D86"/>
    <w:rsid w:val="02DA2E8D"/>
    <w:rsid w:val="02DB761A"/>
    <w:rsid w:val="02DD4D3A"/>
    <w:rsid w:val="02DE3636"/>
    <w:rsid w:val="02DF690F"/>
    <w:rsid w:val="02E22754"/>
    <w:rsid w:val="02E37DBD"/>
    <w:rsid w:val="02E54168"/>
    <w:rsid w:val="02EC68CC"/>
    <w:rsid w:val="02F65A44"/>
    <w:rsid w:val="02FC1503"/>
    <w:rsid w:val="02FF0139"/>
    <w:rsid w:val="02FF7064"/>
    <w:rsid w:val="030221AC"/>
    <w:rsid w:val="03023ED4"/>
    <w:rsid w:val="030954FF"/>
    <w:rsid w:val="030B71F3"/>
    <w:rsid w:val="031C52E7"/>
    <w:rsid w:val="031C73E0"/>
    <w:rsid w:val="033065DA"/>
    <w:rsid w:val="033A6A53"/>
    <w:rsid w:val="033D69C1"/>
    <w:rsid w:val="034915D9"/>
    <w:rsid w:val="034B573C"/>
    <w:rsid w:val="035278D5"/>
    <w:rsid w:val="035904C5"/>
    <w:rsid w:val="035A26B4"/>
    <w:rsid w:val="03681D34"/>
    <w:rsid w:val="036D068A"/>
    <w:rsid w:val="036E416D"/>
    <w:rsid w:val="038874EE"/>
    <w:rsid w:val="038A6FA7"/>
    <w:rsid w:val="038E6C2B"/>
    <w:rsid w:val="03910ED1"/>
    <w:rsid w:val="0395076F"/>
    <w:rsid w:val="039B5B4B"/>
    <w:rsid w:val="039D5723"/>
    <w:rsid w:val="03A078FF"/>
    <w:rsid w:val="03A83ED6"/>
    <w:rsid w:val="03AA637C"/>
    <w:rsid w:val="03CE4787"/>
    <w:rsid w:val="03D05D6F"/>
    <w:rsid w:val="03DE246A"/>
    <w:rsid w:val="03E2065B"/>
    <w:rsid w:val="03ED0495"/>
    <w:rsid w:val="03F0528E"/>
    <w:rsid w:val="03F477FF"/>
    <w:rsid w:val="03FF2F0A"/>
    <w:rsid w:val="04093506"/>
    <w:rsid w:val="040F2D02"/>
    <w:rsid w:val="04144254"/>
    <w:rsid w:val="04180F45"/>
    <w:rsid w:val="04195711"/>
    <w:rsid w:val="041C50D7"/>
    <w:rsid w:val="042604A5"/>
    <w:rsid w:val="042D55CD"/>
    <w:rsid w:val="043121FA"/>
    <w:rsid w:val="04366940"/>
    <w:rsid w:val="04395347"/>
    <w:rsid w:val="043B2F0E"/>
    <w:rsid w:val="04471DD9"/>
    <w:rsid w:val="04570F9F"/>
    <w:rsid w:val="04751E5B"/>
    <w:rsid w:val="04802EA2"/>
    <w:rsid w:val="04823723"/>
    <w:rsid w:val="04886C8D"/>
    <w:rsid w:val="048B27C9"/>
    <w:rsid w:val="049E4F5B"/>
    <w:rsid w:val="04A77B89"/>
    <w:rsid w:val="04AF6985"/>
    <w:rsid w:val="04B71964"/>
    <w:rsid w:val="04BC6A14"/>
    <w:rsid w:val="04C2260C"/>
    <w:rsid w:val="04D11398"/>
    <w:rsid w:val="04D15F03"/>
    <w:rsid w:val="04D9334D"/>
    <w:rsid w:val="04DB78A6"/>
    <w:rsid w:val="04E91532"/>
    <w:rsid w:val="04EA7929"/>
    <w:rsid w:val="04EB79E0"/>
    <w:rsid w:val="04ED6EBF"/>
    <w:rsid w:val="05086534"/>
    <w:rsid w:val="05092B74"/>
    <w:rsid w:val="050A0BAF"/>
    <w:rsid w:val="050B1F38"/>
    <w:rsid w:val="050C35E2"/>
    <w:rsid w:val="050E386A"/>
    <w:rsid w:val="05100DF9"/>
    <w:rsid w:val="05131F6A"/>
    <w:rsid w:val="05135923"/>
    <w:rsid w:val="051B7D51"/>
    <w:rsid w:val="051C280B"/>
    <w:rsid w:val="051D3676"/>
    <w:rsid w:val="051F3956"/>
    <w:rsid w:val="05286B5C"/>
    <w:rsid w:val="0533265D"/>
    <w:rsid w:val="053B21E5"/>
    <w:rsid w:val="055F6482"/>
    <w:rsid w:val="056C2191"/>
    <w:rsid w:val="05717EE3"/>
    <w:rsid w:val="057260D6"/>
    <w:rsid w:val="057E4EC1"/>
    <w:rsid w:val="058E1FF0"/>
    <w:rsid w:val="05984546"/>
    <w:rsid w:val="05AB0F55"/>
    <w:rsid w:val="05B230B1"/>
    <w:rsid w:val="05BC5CAB"/>
    <w:rsid w:val="05C0309F"/>
    <w:rsid w:val="05C44F5B"/>
    <w:rsid w:val="05CF7C0B"/>
    <w:rsid w:val="05D6617A"/>
    <w:rsid w:val="05D7052B"/>
    <w:rsid w:val="05D80009"/>
    <w:rsid w:val="05E142A1"/>
    <w:rsid w:val="05E36750"/>
    <w:rsid w:val="05EA1BBD"/>
    <w:rsid w:val="05EB694D"/>
    <w:rsid w:val="05F26D97"/>
    <w:rsid w:val="05FC4774"/>
    <w:rsid w:val="06047743"/>
    <w:rsid w:val="06254AFE"/>
    <w:rsid w:val="062F23EA"/>
    <w:rsid w:val="06377ED8"/>
    <w:rsid w:val="063A1D35"/>
    <w:rsid w:val="063B575A"/>
    <w:rsid w:val="064028F5"/>
    <w:rsid w:val="064149A2"/>
    <w:rsid w:val="06472B41"/>
    <w:rsid w:val="0649518E"/>
    <w:rsid w:val="06567706"/>
    <w:rsid w:val="066E4634"/>
    <w:rsid w:val="067255DD"/>
    <w:rsid w:val="06737D48"/>
    <w:rsid w:val="067F50FC"/>
    <w:rsid w:val="068343EF"/>
    <w:rsid w:val="069E401D"/>
    <w:rsid w:val="069F0C86"/>
    <w:rsid w:val="06AD0FE0"/>
    <w:rsid w:val="06AF5439"/>
    <w:rsid w:val="06B70D14"/>
    <w:rsid w:val="06B8183B"/>
    <w:rsid w:val="06BB47D7"/>
    <w:rsid w:val="06CF4843"/>
    <w:rsid w:val="06D07CD9"/>
    <w:rsid w:val="06D150B0"/>
    <w:rsid w:val="06D57640"/>
    <w:rsid w:val="06D75688"/>
    <w:rsid w:val="06D85F43"/>
    <w:rsid w:val="06D93A26"/>
    <w:rsid w:val="06E1567A"/>
    <w:rsid w:val="06EF4F85"/>
    <w:rsid w:val="06F26C76"/>
    <w:rsid w:val="06FC32DC"/>
    <w:rsid w:val="070E5BBB"/>
    <w:rsid w:val="07102EA3"/>
    <w:rsid w:val="07155393"/>
    <w:rsid w:val="071A2E12"/>
    <w:rsid w:val="071A7C70"/>
    <w:rsid w:val="072C2BD2"/>
    <w:rsid w:val="072D235A"/>
    <w:rsid w:val="072F1B8C"/>
    <w:rsid w:val="073D6D5D"/>
    <w:rsid w:val="07466137"/>
    <w:rsid w:val="074B2DBA"/>
    <w:rsid w:val="07624693"/>
    <w:rsid w:val="07677842"/>
    <w:rsid w:val="07690751"/>
    <w:rsid w:val="07696311"/>
    <w:rsid w:val="077602C5"/>
    <w:rsid w:val="077E791D"/>
    <w:rsid w:val="07875964"/>
    <w:rsid w:val="078768AA"/>
    <w:rsid w:val="07967C84"/>
    <w:rsid w:val="079E3120"/>
    <w:rsid w:val="07A06B5F"/>
    <w:rsid w:val="07AF393F"/>
    <w:rsid w:val="07B46512"/>
    <w:rsid w:val="07BF3BC0"/>
    <w:rsid w:val="07C353F3"/>
    <w:rsid w:val="07C72109"/>
    <w:rsid w:val="07D226D6"/>
    <w:rsid w:val="07D8335B"/>
    <w:rsid w:val="07E20E26"/>
    <w:rsid w:val="07F51A74"/>
    <w:rsid w:val="07F66553"/>
    <w:rsid w:val="07FA7E5D"/>
    <w:rsid w:val="07FD24F6"/>
    <w:rsid w:val="0800694D"/>
    <w:rsid w:val="080F41F2"/>
    <w:rsid w:val="081319AB"/>
    <w:rsid w:val="08177AAE"/>
    <w:rsid w:val="081C4008"/>
    <w:rsid w:val="081E59A2"/>
    <w:rsid w:val="08202EA2"/>
    <w:rsid w:val="083028BF"/>
    <w:rsid w:val="083429AF"/>
    <w:rsid w:val="08375CE4"/>
    <w:rsid w:val="083F007C"/>
    <w:rsid w:val="08542E2F"/>
    <w:rsid w:val="08601FE5"/>
    <w:rsid w:val="086164D1"/>
    <w:rsid w:val="08650798"/>
    <w:rsid w:val="086732D4"/>
    <w:rsid w:val="087C38DC"/>
    <w:rsid w:val="088E1110"/>
    <w:rsid w:val="08941626"/>
    <w:rsid w:val="089A0982"/>
    <w:rsid w:val="089D6CE6"/>
    <w:rsid w:val="08AC71FD"/>
    <w:rsid w:val="08B54BEF"/>
    <w:rsid w:val="08B7253D"/>
    <w:rsid w:val="08D535E7"/>
    <w:rsid w:val="08DA7F0B"/>
    <w:rsid w:val="08DC6137"/>
    <w:rsid w:val="08DC7FD0"/>
    <w:rsid w:val="08EF0E47"/>
    <w:rsid w:val="08F70F8E"/>
    <w:rsid w:val="08FB1FF2"/>
    <w:rsid w:val="091C01CB"/>
    <w:rsid w:val="0920412A"/>
    <w:rsid w:val="09230DD0"/>
    <w:rsid w:val="09256B39"/>
    <w:rsid w:val="093116CB"/>
    <w:rsid w:val="093365B7"/>
    <w:rsid w:val="09361E18"/>
    <w:rsid w:val="093650B2"/>
    <w:rsid w:val="093A7C94"/>
    <w:rsid w:val="093E0E6F"/>
    <w:rsid w:val="0942290C"/>
    <w:rsid w:val="09446F75"/>
    <w:rsid w:val="094D2DA8"/>
    <w:rsid w:val="097F7BA4"/>
    <w:rsid w:val="098631D2"/>
    <w:rsid w:val="09876635"/>
    <w:rsid w:val="098D1ED3"/>
    <w:rsid w:val="09951AA0"/>
    <w:rsid w:val="09AC46F3"/>
    <w:rsid w:val="09B11A7C"/>
    <w:rsid w:val="09B16F75"/>
    <w:rsid w:val="09B26803"/>
    <w:rsid w:val="09C3373A"/>
    <w:rsid w:val="09DD4B98"/>
    <w:rsid w:val="09E66F88"/>
    <w:rsid w:val="09E90183"/>
    <w:rsid w:val="09EE5DB5"/>
    <w:rsid w:val="09EE7D20"/>
    <w:rsid w:val="09F25F0A"/>
    <w:rsid w:val="09F32454"/>
    <w:rsid w:val="09F478DA"/>
    <w:rsid w:val="09FC4C8D"/>
    <w:rsid w:val="09FD33AE"/>
    <w:rsid w:val="0A191D16"/>
    <w:rsid w:val="0A257E0A"/>
    <w:rsid w:val="0A272FE5"/>
    <w:rsid w:val="0A2D05E9"/>
    <w:rsid w:val="0A313747"/>
    <w:rsid w:val="0A411409"/>
    <w:rsid w:val="0A435C65"/>
    <w:rsid w:val="0A4422E2"/>
    <w:rsid w:val="0A4725CE"/>
    <w:rsid w:val="0A4F3263"/>
    <w:rsid w:val="0A7438DD"/>
    <w:rsid w:val="0A74781F"/>
    <w:rsid w:val="0A8909F2"/>
    <w:rsid w:val="0A8C5A85"/>
    <w:rsid w:val="0A8D65CE"/>
    <w:rsid w:val="0A8E3D37"/>
    <w:rsid w:val="0A9A09F8"/>
    <w:rsid w:val="0A9F695B"/>
    <w:rsid w:val="0AA90253"/>
    <w:rsid w:val="0AB311A6"/>
    <w:rsid w:val="0AB5443C"/>
    <w:rsid w:val="0AB56449"/>
    <w:rsid w:val="0ABB3A66"/>
    <w:rsid w:val="0AC43C30"/>
    <w:rsid w:val="0ACB6C41"/>
    <w:rsid w:val="0AE81BA6"/>
    <w:rsid w:val="0AF538AD"/>
    <w:rsid w:val="0AFC1968"/>
    <w:rsid w:val="0AFF187C"/>
    <w:rsid w:val="0AFF59C3"/>
    <w:rsid w:val="0B027850"/>
    <w:rsid w:val="0B134236"/>
    <w:rsid w:val="0B2071A3"/>
    <w:rsid w:val="0B26089D"/>
    <w:rsid w:val="0B270C61"/>
    <w:rsid w:val="0B284192"/>
    <w:rsid w:val="0B2918E4"/>
    <w:rsid w:val="0B2C349F"/>
    <w:rsid w:val="0B312C63"/>
    <w:rsid w:val="0B4C2704"/>
    <w:rsid w:val="0B5A27A1"/>
    <w:rsid w:val="0B63610A"/>
    <w:rsid w:val="0B656343"/>
    <w:rsid w:val="0B664512"/>
    <w:rsid w:val="0B6B07F1"/>
    <w:rsid w:val="0B7251D2"/>
    <w:rsid w:val="0B736657"/>
    <w:rsid w:val="0B7932D7"/>
    <w:rsid w:val="0B7C1EA9"/>
    <w:rsid w:val="0B7E4DD9"/>
    <w:rsid w:val="0B7E5616"/>
    <w:rsid w:val="0B7E7CF4"/>
    <w:rsid w:val="0B9415A7"/>
    <w:rsid w:val="0B9748EF"/>
    <w:rsid w:val="0BA26A04"/>
    <w:rsid w:val="0BAC1289"/>
    <w:rsid w:val="0BAC4700"/>
    <w:rsid w:val="0BBF0C52"/>
    <w:rsid w:val="0BBF42D8"/>
    <w:rsid w:val="0BCA2347"/>
    <w:rsid w:val="0BCF04E4"/>
    <w:rsid w:val="0BD04740"/>
    <w:rsid w:val="0BE35411"/>
    <w:rsid w:val="0BE56D4D"/>
    <w:rsid w:val="0BE61470"/>
    <w:rsid w:val="0BF80432"/>
    <w:rsid w:val="0C0F11B9"/>
    <w:rsid w:val="0C1045B7"/>
    <w:rsid w:val="0C156680"/>
    <w:rsid w:val="0C1E4886"/>
    <w:rsid w:val="0C2767E1"/>
    <w:rsid w:val="0C2E1287"/>
    <w:rsid w:val="0C4A3DB3"/>
    <w:rsid w:val="0C5679A6"/>
    <w:rsid w:val="0C571A1A"/>
    <w:rsid w:val="0C666CBA"/>
    <w:rsid w:val="0C7232AD"/>
    <w:rsid w:val="0C80190B"/>
    <w:rsid w:val="0C807C2C"/>
    <w:rsid w:val="0C95044D"/>
    <w:rsid w:val="0CAC0475"/>
    <w:rsid w:val="0CB66E9D"/>
    <w:rsid w:val="0CBB4D97"/>
    <w:rsid w:val="0CC15109"/>
    <w:rsid w:val="0CC160BB"/>
    <w:rsid w:val="0CC7642A"/>
    <w:rsid w:val="0CCD7DCE"/>
    <w:rsid w:val="0CD14220"/>
    <w:rsid w:val="0CD27639"/>
    <w:rsid w:val="0CD85ED1"/>
    <w:rsid w:val="0CDB2602"/>
    <w:rsid w:val="0CEB55EC"/>
    <w:rsid w:val="0CF35B1E"/>
    <w:rsid w:val="0CF423AB"/>
    <w:rsid w:val="0CF454E1"/>
    <w:rsid w:val="0CF55DC7"/>
    <w:rsid w:val="0CF56F29"/>
    <w:rsid w:val="0CF7521D"/>
    <w:rsid w:val="0CFA74F5"/>
    <w:rsid w:val="0D0C69B3"/>
    <w:rsid w:val="0D151B11"/>
    <w:rsid w:val="0D192457"/>
    <w:rsid w:val="0D1A12EF"/>
    <w:rsid w:val="0D206685"/>
    <w:rsid w:val="0D3637B9"/>
    <w:rsid w:val="0D46318E"/>
    <w:rsid w:val="0D551196"/>
    <w:rsid w:val="0D5F2DF1"/>
    <w:rsid w:val="0D6027F1"/>
    <w:rsid w:val="0D6442BC"/>
    <w:rsid w:val="0D720878"/>
    <w:rsid w:val="0D8B458E"/>
    <w:rsid w:val="0DA33225"/>
    <w:rsid w:val="0DA401BF"/>
    <w:rsid w:val="0DAB14AD"/>
    <w:rsid w:val="0DAB58C7"/>
    <w:rsid w:val="0DC36124"/>
    <w:rsid w:val="0DD03989"/>
    <w:rsid w:val="0DD7032C"/>
    <w:rsid w:val="0DD76A82"/>
    <w:rsid w:val="0DD953A9"/>
    <w:rsid w:val="0DDC1687"/>
    <w:rsid w:val="0DE85244"/>
    <w:rsid w:val="0DE91AA9"/>
    <w:rsid w:val="0DEB4947"/>
    <w:rsid w:val="0DF4425C"/>
    <w:rsid w:val="0DF45B93"/>
    <w:rsid w:val="0DF60365"/>
    <w:rsid w:val="0E02268D"/>
    <w:rsid w:val="0E034C75"/>
    <w:rsid w:val="0E0A703B"/>
    <w:rsid w:val="0E194B58"/>
    <w:rsid w:val="0E250AE6"/>
    <w:rsid w:val="0E276010"/>
    <w:rsid w:val="0E2E3B50"/>
    <w:rsid w:val="0E324491"/>
    <w:rsid w:val="0E387724"/>
    <w:rsid w:val="0E455929"/>
    <w:rsid w:val="0E462930"/>
    <w:rsid w:val="0E475E10"/>
    <w:rsid w:val="0E5B1AB7"/>
    <w:rsid w:val="0E64576F"/>
    <w:rsid w:val="0E671B4E"/>
    <w:rsid w:val="0E6A4870"/>
    <w:rsid w:val="0E6C7739"/>
    <w:rsid w:val="0E6D2468"/>
    <w:rsid w:val="0E6E5115"/>
    <w:rsid w:val="0E731DC8"/>
    <w:rsid w:val="0E7846DC"/>
    <w:rsid w:val="0E797520"/>
    <w:rsid w:val="0E824B10"/>
    <w:rsid w:val="0E851EB4"/>
    <w:rsid w:val="0E894B41"/>
    <w:rsid w:val="0E8B0088"/>
    <w:rsid w:val="0E9767C4"/>
    <w:rsid w:val="0E9E2B4A"/>
    <w:rsid w:val="0EA07FBA"/>
    <w:rsid w:val="0EA13C48"/>
    <w:rsid w:val="0EA54992"/>
    <w:rsid w:val="0EA66432"/>
    <w:rsid w:val="0EA9626F"/>
    <w:rsid w:val="0EB24AE8"/>
    <w:rsid w:val="0EB24D01"/>
    <w:rsid w:val="0EB97C39"/>
    <w:rsid w:val="0EC71B35"/>
    <w:rsid w:val="0ED73594"/>
    <w:rsid w:val="0EDB0A52"/>
    <w:rsid w:val="0EDD39F0"/>
    <w:rsid w:val="0EDF3330"/>
    <w:rsid w:val="0EEB325E"/>
    <w:rsid w:val="0EF467DA"/>
    <w:rsid w:val="0EFC6E79"/>
    <w:rsid w:val="0EFE6664"/>
    <w:rsid w:val="0F016F02"/>
    <w:rsid w:val="0F065910"/>
    <w:rsid w:val="0F117468"/>
    <w:rsid w:val="0F1E1970"/>
    <w:rsid w:val="0F1E3774"/>
    <w:rsid w:val="0F245A0B"/>
    <w:rsid w:val="0F2A53EC"/>
    <w:rsid w:val="0F2C2F95"/>
    <w:rsid w:val="0F3F0BE3"/>
    <w:rsid w:val="0F4F4CB7"/>
    <w:rsid w:val="0F5B362B"/>
    <w:rsid w:val="0F5E06C0"/>
    <w:rsid w:val="0F803675"/>
    <w:rsid w:val="0F8F2D34"/>
    <w:rsid w:val="0F9855DF"/>
    <w:rsid w:val="0FA05E04"/>
    <w:rsid w:val="0FA221B1"/>
    <w:rsid w:val="0FAC3DC7"/>
    <w:rsid w:val="0FB9471D"/>
    <w:rsid w:val="0FBA58AB"/>
    <w:rsid w:val="0FC47F8D"/>
    <w:rsid w:val="0FC55967"/>
    <w:rsid w:val="0FD8442E"/>
    <w:rsid w:val="0FE27B61"/>
    <w:rsid w:val="0FE71B19"/>
    <w:rsid w:val="0FEF2030"/>
    <w:rsid w:val="0FFE13FD"/>
    <w:rsid w:val="10086FA5"/>
    <w:rsid w:val="100B4C41"/>
    <w:rsid w:val="100E57FD"/>
    <w:rsid w:val="101217FE"/>
    <w:rsid w:val="10136075"/>
    <w:rsid w:val="10185832"/>
    <w:rsid w:val="101919C2"/>
    <w:rsid w:val="10200EEE"/>
    <w:rsid w:val="1020298B"/>
    <w:rsid w:val="10297871"/>
    <w:rsid w:val="102D08B4"/>
    <w:rsid w:val="102D1EB7"/>
    <w:rsid w:val="103C47D8"/>
    <w:rsid w:val="105036C6"/>
    <w:rsid w:val="105C502D"/>
    <w:rsid w:val="10702344"/>
    <w:rsid w:val="10755979"/>
    <w:rsid w:val="10766672"/>
    <w:rsid w:val="1082578B"/>
    <w:rsid w:val="10834C2D"/>
    <w:rsid w:val="10840B9C"/>
    <w:rsid w:val="10A82F81"/>
    <w:rsid w:val="10A950FE"/>
    <w:rsid w:val="10B64DEF"/>
    <w:rsid w:val="10C1392E"/>
    <w:rsid w:val="10D33836"/>
    <w:rsid w:val="10D872C0"/>
    <w:rsid w:val="10DB7DD5"/>
    <w:rsid w:val="10E328D0"/>
    <w:rsid w:val="10E75BD5"/>
    <w:rsid w:val="10E8212E"/>
    <w:rsid w:val="10ED2B82"/>
    <w:rsid w:val="10EF1059"/>
    <w:rsid w:val="10F03091"/>
    <w:rsid w:val="10F16A8D"/>
    <w:rsid w:val="10F344E4"/>
    <w:rsid w:val="10F87A6A"/>
    <w:rsid w:val="10FC6CB5"/>
    <w:rsid w:val="11103EE6"/>
    <w:rsid w:val="11126C88"/>
    <w:rsid w:val="111F44F4"/>
    <w:rsid w:val="11255DAE"/>
    <w:rsid w:val="11365E4B"/>
    <w:rsid w:val="11382D8F"/>
    <w:rsid w:val="114E66C9"/>
    <w:rsid w:val="115E3EF5"/>
    <w:rsid w:val="116766CF"/>
    <w:rsid w:val="116B096D"/>
    <w:rsid w:val="116E13A1"/>
    <w:rsid w:val="11727D99"/>
    <w:rsid w:val="1184168B"/>
    <w:rsid w:val="118956AB"/>
    <w:rsid w:val="1198547F"/>
    <w:rsid w:val="119B5106"/>
    <w:rsid w:val="119C4C3A"/>
    <w:rsid w:val="11A40943"/>
    <w:rsid w:val="11A5400E"/>
    <w:rsid w:val="11B70551"/>
    <w:rsid w:val="11D57C36"/>
    <w:rsid w:val="11D64577"/>
    <w:rsid w:val="11E01A7B"/>
    <w:rsid w:val="11E6727D"/>
    <w:rsid w:val="11EB34D6"/>
    <w:rsid w:val="11FB7995"/>
    <w:rsid w:val="120413C8"/>
    <w:rsid w:val="12140CB2"/>
    <w:rsid w:val="12234C0C"/>
    <w:rsid w:val="122D6B72"/>
    <w:rsid w:val="123A3799"/>
    <w:rsid w:val="124B6443"/>
    <w:rsid w:val="125239BE"/>
    <w:rsid w:val="12623D4E"/>
    <w:rsid w:val="12646BB7"/>
    <w:rsid w:val="127F2DC5"/>
    <w:rsid w:val="1285685C"/>
    <w:rsid w:val="128739F0"/>
    <w:rsid w:val="128C77D8"/>
    <w:rsid w:val="129766C8"/>
    <w:rsid w:val="12B154E1"/>
    <w:rsid w:val="12B43F64"/>
    <w:rsid w:val="12B73A5F"/>
    <w:rsid w:val="12BC2E83"/>
    <w:rsid w:val="12C50A92"/>
    <w:rsid w:val="12C779CB"/>
    <w:rsid w:val="12D72AF6"/>
    <w:rsid w:val="12EE6D5D"/>
    <w:rsid w:val="12F229C3"/>
    <w:rsid w:val="12F44D44"/>
    <w:rsid w:val="12FE353C"/>
    <w:rsid w:val="130E5963"/>
    <w:rsid w:val="131A6DE0"/>
    <w:rsid w:val="13291948"/>
    <w:rsid w:val="132F104D"/>
    <w:rsid w:val="133222C7"/>
    <w:rsid w:val="13403F4F"/>
    <w:rsid w:val="134179A9"/>
    <w:rsid w:val="134A0A86"/>
    <w:rsid w:val="13536251"/>
    <w:rsid w:val="13566C69"/>
    <w:rsid w:val="136B0C69"/>
    <w:rsid w:val="136E28CC"/>
    <w:rsid w:val="13767DCB"/>
    <w:rsid w:val="137B34E7"/>
    <w:rsid w:val="137F5C1E"/>
    <w:rsid w:val="13A02046"/>
    <w:rsid w:val="13A54C10"/>
    <w:rsid w:val="13AB599A"/>
    <w:rsid w:val="13B25E9A"/>
    <w:rsid w:val="13B47027"/>
    <w:rsid w:val="13BB7992"/>
    <w:rsid w:val="13C42E6A"/>
    <w:rsid w:val="13CD19E8"/>
    <w:rsid w:val="13D22966"/>
    <w:rsid w:val="13D948A8"/>
    <w:rsid w:val="13D97D09"/>
    <w:rsid w:val="13E370C3"/>
    <w:rsid w:val="13E875D0"/>
    <w:rsid w:val="13E913FF"/>
    <w:rsid w:val="13F41789"/>
    <w:rsid w:val="13F8190B"/>
    <w:rsid w:val="13FE25F9"/>
    <w:rsid w:val="14033CE8"/>
    <w:rsid w:val="1416440F"/>
    <w:rsid w:val="14256B19"/>
    <w:rsid w:val="14264DE5"/>
    <w:rsid w:val="142A2DF5"/>
    <w:rsid w:val="142C45C0"/>
    <w:rsid w:val="14323CF9"/>
    <w:rsid w:val="14356CCB"/>
    <w:rsid w:val="143A3293"/>
    <w:rsid w:val="143C3E26"/>
    <w:rsid w:val="143F6F2F"/>
    <w:rsid w:val="144516E3"/>
    <w:rsid w:val="144E1593"/>
    <w:rsid w:val="145C59CE"/>
    <w:rsid w:val="14652738"/>
    <w:rsid w:val="14753C8D"/>
    <w:rsid w:val="14791E36"/>
    <w:rsid w:val="147D3BB2"/>
    <w:rsid w:val="147F6D89"/>
    <w:rsid w:val="14831C5F"/>
    <w:rsid w:val="148D47A2"/>
    <w:rsid w:val="14900150"/>
    <w:rsid w:val="1494710B"/>
    <w:rsid w:val="149764B4"/>
    <w:rsid w:val="1498438C"/>
    <w:rsid w:val="149E3B4A"/>
    <w:rsid w:val="14A93A1B"/>
    <w:rsid w:val="14AB2BA9"/>
    <w:rsid w:val="14AE068A"/>
    <w:rsid w:val="14B45717"/>
    <w:rsid w:val="14CA7B1F"/>
    <w:rsid w:val="14D3220A"/>
    <w:rsid w:val="14DB3EE4"/>
    <w:rsid w:val="14E46E4B"/>
    <w:rsid w:val="14E52087"/>
    <w:rsid w:val="14FF13FB"/>
    <w:rsid w:val="14FF719B"/>
    <w:rsid w:val="150C5439"/>
    <w:rsid w:val="151434A6"/>
    <w:rsid w:val="15163C96"/>
    <w:rsid w:val="151701EC"/>
    <w:rsid w:val="15183518"/>
    <w:rsid w:val="152C6322"/>
    <w:rsid w:val="153B094C"/>
    <w:rsid w:val="154C25E1"/>
    <w:rsid w:val="15564D28"/>
    <w:rsid w:val="15606315"/>
    <w:rsid w:val="156B7ABF"/>
    <w:rsid w:val="156E1539"/>
    <w:rsid w:val="156F61A2"/>
    <w:rsid w:val="15741E18"/>
    <w:rsid w:val="158108BD"/>
    <w:rsid w:val="15841EB5"/>
    <w:rsid w:val="158E794F"/>
    <w:rsid w:val="159B2A7F"/>
    <w:rsid w:val="15AC0E85"/>
    <w:rsid w:val="15AF4268"/>
    <w:rsid w:val="15B24CEA"/>
    <w:rsid w:val="15B70BEF"/>
    <w:rsid w:val="15BE5307"/>
    <w:rsid w:val="15BE697F"/>
    <w:rsid w:val="15C06A9E"/>
    <w:rsid w:val="15C60660"/>
    <w:rsid w:val="15D53186"/>
    <w:rsid w:val="15D916AD"/>
    <w:rsid w:val="15DA100E"/>
    <w:rsid w:val="15F22251"/>
    <w:rsid w:val="15FA2771"/>
    <w:rsid w:val="16050687"/>
    <w:rsid w:val="160C56AD"/>
    <w:rsid w:val="160F20A0"/>
    <w:rsid w:val="1614659B"/>
    <w:rsid w:val="1619028A"/>
    <w:rsid w:val="162205BB"/>
    <w:rsid w:val="163528BD"/>
    <w:rsid w:val="163B2F1D"/>
    <w:rsid w:val="164102A7"/>
    <w:rsid w:val="16416351"/>
    <w:rsid w:val="16416BCB"/>
    <w:rsid w:val="164C7AF7"/>
    <w:rsid w:val="164E1E79"/>
    <w:rsid w:val="165F3F87"/>
    <w:rsid w:val="16634D60"/>
    <w:rsid w:val="166A1AE7"/>
    <w:rsid w:val="166B2103"/>
    <w:rsid w:val="167765B8"/>
    <w:rsid w:val="167E73E8"/>
    <w:rsid w:val="1685128C"/>
    <w:rsid w:val="16924457"/>
    <w:rsid w:val="1694528F"/>
    <w:rsid w:val="16A13C5E"/>
    <w:rsid w:val="16B30AF5"/>
    <w:rsid w:val="16BB51CD"/>
    <w:rsid w:val="16C34E04"/>
    <w:rsid w:val="16CA0EFE"/>
    <w:rsid w:val="16CF109C"/>
    <w:rsid w:val="16D55CE6"/>
    <w:rsid w:val="16D74F7C"/>
    <w:rsid w:val="16D9722C"/>
    <w:rsid w:val="16DE5068"/>
    <w:rsid w:val="16F16D84"/>
    <w:rsid w:val="16F419E0"/>
    <w:rsid w:val="16F8494B"/>
    <w:rsid w:val="16FB2391"/>
    <w:rsid w:val="16FE657E"/>
    <w:rsid w:val="1700442D"/>
    <w:rsid w:val="17062FA6"/>
    <w:rsid w:val="170813CA"/>
    <w:rsid w:val="171364E9"/>
    <w:rsid w:val="17216E7D"/>
    <w:rsid w:val="17300769"/>
    <w:rsid w:val="173754B5"/>
    <w:rsid w:val="17424C96"/>
    <w:rsid w:val="174E44F3"/>
    <w:rsid w:val="175129C0"/>
    <w:rsid w:val="17596106"/>
    <w:rsid w:val="175A04A3"/>
    <w:rsid w:val="175F1AB8"/>
    <w:rsid w:val="177841DA"/>
    <w:rsid w:val="178774A7"/>
    <w:rsid w:val="17884786"/>
    <w:rsid w:val="17962C64"/>
    <w:rsid w:val="179D7821"/>
    <w:rsid w:val="17A002EC"/>
    <w:rsid w:val="17AA3B53"/>
    <w:rsid w:val="17AB3E8E"/>
    <w:rsid w:val="17AD0356"/>
    <w:rsid w:val="17B65F0F"/>
    <w:rsid w:val="17B97B48"/>
    <w:rsid w:val="17BC3A70"/>
    <w:rsid w:val="17C70A10"/>
    <w:rsid w:val="17CF58B9"/>
    <w:rsid w:val="17DD2C74"/>
    <w:rsid w:val="17DF3FCF"/>
    <w:rsid w:val="17DF4C49"/>
    <w:rsid w:val="17E57A8C"/>
    <w:rsid w:val="18011278"/>
    <w:rsid w:val="18066E44"/>
    <w:rsid w:val="181C77F9"/>
    <w:rsid w:val="1824381B"/>
    <w:rsid w:val="18276DA7"/>
    <w:rsid w:val="18285DAA"/>
    <w:rsid w:val="182D6C37"/>
    <w:rsid w:val="18345A22"/>
    <w:rsid w:val="184128E5"/>
    <w:rsid w:val="184956CC"/>
    <w:rsid w:val="184D78D8"/>
    <w:rsid w:val="184F2BD5"/>
    <w:rsid w:val="18633004"/>
    <w:rsid w:val="18656135"/>
    <w:rsid w:val="18671D58"/>
    <w:rsid w:val="18773579"/>
    <w:rsid w:val="187A0BAB"/>
    <w:rsid w:val="18801803"/>
    <w:rsid w:val="18831301"/>
    <w:rsid w:val="188953B4"/>
    <w:rsid w:val="189A3841"/>
    <w:rsid w:val="189E1E06"/>
    <w:rsid w:val="18A45469"/>
    <w:rsid w:val="18A75515"/>
    <w:rsid w:val="18B350A5"/>
    <w:rsid w:val="18BD00D6"/>
    <w:rsid w:val="18C35578"/>
    <w:rsid w:val="18D50033"/>
    <w:rsid w:val="18DC0CBD"/>
    <w:rsid w:val="18ED21EE"/>
    <w:rsid w:val="18F37EE5"/>
    <w:rsid w:val="18F76C7A"/>
    <w:rsid w:val="190631D9"/>
    <w:rsid w:val="19097C72"/>
    <w:rsid w:val="190C40CD"/>
    <w:rsid w:val="190D1C99"/>
    <w:rsid w:val="190E4A67"/>
    <w:rsid w:val="191219FF"/>
    <w:rsid w:val="19241BE7"/>
    <w:rsid w:val="19276C3B"/>
    <w:rsid w:val="192851F1"/>
    <w:rsid w:val="192D083D"/>
    <w:rsid w:val="192F1748"/>
    <w:rsid w:val="19325233"/>
    <w:rsid w:val="19347805"/>
    <w:rsid w:val="193712ED"/>
    <w:rsid w:val="19373561"/>
    <w:rsid w:val="1938445A"/>
    <w:rsid w:val="19411F3C"/>
    <w:rsid w:val="194A68D5"/>
    <w:rsid w:val="194D072E"/>
    <w:rsid w:val="194E7653"/>
    <w:rsid w:val="19547753"/>
    <w:rsid w:val="196D2E71"/>
    <w:rsid w:val="197065CA"/>
    <w:rsid w:val="19755FBF"/>
    <w:rsid w:val="19762BF6"/>
    <w:rsid w:val="19780173"/>
    <w:rsid w:val="19791589"/>
    <w:rsid w:val="19842DF8"/>
    <w:rsid w:val="19901E0A"/>
    <w:rsid w:val="19931565"/>
    <w:rsid w:val="19943213"/>
    <w:rsid w:val="19954F91"/>
    <w:rsid w:val="19A43061"/>
    <w:rsid w:val="19A82E54"/>
    <w:rsid w:val="19AE4518"/>
    <w:rsid w:val="19B76981"/>
    <w:rsid w:val="19B8250F"/>
    <w:rsid w:val="19BE1B61"/>
    <w:rsid w:val="19C47444"/>
    <w:rsid w:val="19CE38E4"/>
    <w:rsid w:val="19D400B1"/>
    <w:rsid w:val="19DC2D9E"/>
    <w:rsid w:val="19E256BE"/>
    <w:rsid w:val="19E62324"/>
    <w:rsid w:val="19E94E6B"/>
    <w:rsid w:val="19FF105C"/>
    <w:rsid w:val="1A003F43"/>
    <w:rsid w:val="1A066248"/>
    <w:rsid w:val="1A21367A"/>
    <w:rsid w:val="1A2A4D0C"/>
    <w:rsid w:val="1A400002"/>
    <w:rsid w:val="1A4A1AD4"/>
    <w:rsid w:val="1A4B3ADF"/>
    <w:rsid w:val="1A4B5BC0"/>
    <w:rsid w:val="1A5B7086"/>
    <w:rsid w:val="1A5F4C14"/>
    <w:rsid w:val="1A650B11"/>
    <w:rsid w:val="1A68423C"/>
    <w:rsid w:val="1A7409BD"/>
    <w:rsid w:val="1A7644E8"/>
    <w:rsid w:val="1A7D4C76"/>
    <w:rsid w:val="1A8C0879"/>
    <w:rsid w:val="1A8F4676"/>
    <w:rsid w:val="1A8F60E5"/>
    <w:rsid w:val="1A9072F4"/>
    <w:rsid w:val="1A967C5A"/>
    <w:rsid w:val="1A9C14C1"/>
    <w:rsid w:val="1A9C5A3E"/>
    <w:rsid w:val="1A9F1EBD"/>
    <w:rsid w:val="1AA57753"/>
    <w:rsid w:val="1AB0556F"/>
    <w:rsid w:val="1AB7422A"/>
    <w:rsid w:val="1AC80C86"/>
    <w:rsid w:val="1AD16C90"/>
    <w:rsid w:val="1AD26AC3"/>
    <w:rsid w:val="1AD57577"/>
    <w:rsid w:val="1AD85889"/>
    <w:rsid w:val="1ADE23C3"/>
    <w:rsid w:val="1AE27C14"/>
    <w:rsid w:val="1AE449EB"/>
    <w:rsid w:val="1AE55423"/>
    <w:rsid w:val="1AEF04CF"/>
    <w:rsid w:val="1AFC1A85"/>
    <w:rsid w:val="1B072DEE"/>
    <w:rsid w:val="1B0D765D"/>
    <w:rsid w:val="1B100D19"/>
    <w:rsid w:val="1B18299D"/>
    <w:rsid w:val="1B346139"/>
    <w:rsid w:val="1B3573D7"/>
    <w:rsid w:val="1B383C0D"/>
    <w:rsid w:val="1B3C2469"/>
    <w:rsid w:val="1B3C4D57"/>
    <w:rsid w:val="1B3D060C"/>
    <w:rsid w:val="1B3D6FD8"/>
    <w:rsid w:val="1B4779C2"/>
    <w:rsid w:val="1B644FA1"/>
    <w:rsid w:val="1B6C5A9F"/>
    <w:rsid w:val="1B714293"/>
    <w:rsid w:val="1B850E66"/>
    <w:rsid w:val="1B8A18F9"/>
    <w:rsid w:val="1B8B5D01"/>
    <w:rsid w:val="1B9C1561"/>
    <w:rsid w:val="1B9F3392"/>
    <w:rsid w:val="1BA51326"/>
    <w:rsid w:val="1BAF0FE1"/>
    <w:rsid w:val="1BB9082F"/>
    <w:rsid w:val="1BC24B5B"/>
    <w:rsid w:val="1BCC5EC0"/>
    <w:rsid w:val="1BD34945"/>
    <w:rsid w:val="1BD807CD"/>
    <w:rsid w:val="1BDD5259"/>
    <w:rsid w:val="1BE4732B"/>
    <w:rsid w:val="1BFD5581"/>
    <w:rsid w:val="1C092C56"/>
    <w:rsid w:val="1C1563A0"/>
    <w:rsid w:val="1C1640AA"/>
    <w:rsid w:val="1C1C4768"/>
    <w:rsid w:val="1C1E665C"/>
    <w:rsid w:val="1C22005F"/>
    <w:rsid w:val="1C2F49D8"/>
    <w:rsid w:val="1C45041C"/>
    <w:rsid w:val="1C494878"/>
    <w:rsid w:val="1C4C62D9"/>
    <w:rsid w:val="1C502E27"/>
    <w:rsid w:val="1C604BF4"/>
    <w:rsid w:val="1C67733C"/>
    <w:rsid w:val="1C686230"/>
    <w:rsid w:val="1C743A8B"/>
    <w:rsid w:val="1C7C75E6"/>
    <w:rsid w:val="1C7D4EA2"/>
    <w:rsid w:val="1C866105"/>
    <w:rsid w:val="1C900BA0"/>
    <w:rsid w:val="1C914958"/>
    <w:rsid w:val="1C942A8C"/>
    <w:rsid w:val="1C9760FA"/>
    <w:rsid w:val="1C9A1BA8"/>
    <w:rsid w:val="1C9D3A2C"/>
    <w:rsid w:val="1CAB43CA"/>
    <w:rsid w:val="1CB11E65"/>
    <w:rsid w:val="1CB967DD"/>
    <w:rsid w:val="1CBF4748"/>
    <w:rsid w:val="1CD40C17"/>
    <w:rsid w:val="1CD86B22"/>
    <w:rsid w:val="1CDE03CB"/>
    <w:rsid w:val="1CDF52BF"/>
    <w:rsid w:val="1CEB3172"/>
    <w:rsid w:val="1CF2501B"/>
    <w:rsid w:val="1CF326BB"/>
    <w:rsid w:val="1CFE23E6"/>
    <w:rsid w:val="1D0032A3"/>
    <w:rsid w:val="1D2155E5"/>
    <w:rsid w:val="1D2302B5"/>
    <w:rsid w:val="1D38397E"/>
    <w:rsid w:val="1D4135FE"/>
    <w:rsid w:val="1D473DE5"/>
    <w:rsid w:val="1D645421"/>
    <w:rsid w:val="1D8422C1"/>
    <w:rsid w:val="1D851485"/>
    <w:rsid w:val="1D993B71"/>
    <w:rsid w:val="1D9A6EFF"/>
    <w:rsid w:val="1D9E45AD"/>
    <w:rsid w:val="1DA76325"/>
    <w:rsid w:val="1DB05A80"/>
    <w:rsid w:val="1DB12594"/>
    <w:rsid w:val="1DB516F8"/>
    <w:rsid w:val="1DB65EF5"/>
    <w:rsid w:val="1DB82A78"/>
    <w:rsid w:val="1DBA65C3"/>
    <w:rsid w:val="1DC4787D"/>
    <w:rsid w:val="1DC568A3"/>
    <w:rsid w:val="1DC71024"/>
    <w:rsid w:val="1DCF6DB1"/>
    <w:rsid w:val="1DDA2119"/>
    <w:rsid w:val="1DE4741F"/>
    <w:rsid w:val="1DE86C58"/>
    <w:rsid w:val="1DEA58B6"/>
    <w:rsid w:val="1DF70CAB"/>
    <w:rsid w:val="1E012081"/>
    <w:rsid w:val="1E072892"/>
    <w:rsid w:val="1E126689"/>
    <w:rsid w:val="1E1E49BC"/>
    <w:rsid w:val="1E3300CA"/>
    <w:rsid w:val="1E413FA9"/>
    <w:rsid w:val="1E4B01C5"/>
    <w:rsid w:val="1E6E293D"/>
    <w:rsid w:val="1E726FBF"/>
    <w:rsid w:val="1E745F6B"/>
    <w:rsid w:val="1E820FDB"/>
    <w:rsid w:val="1E846D05"/>
    <w:rsid w:val="1E851B0B"/>
    <w:rsid w:val="1E903F08"/>
    <w:rsid w:val="1E91025B"/>
    <w:rsid w:val="1E931773"/>
    <w:rsid w:val="1E9465B1"/>
    <w:rsid w:val="1E967D52"/>
    <w:rsid w:val="1EA72D16"/>
    <w:rsid w:val="1EB14A80"/>
    <w:rsid w:val="1EB26E89"/>
    <w:rsid w:val="1EB667DF"/>
    <w:rsid w:val="1EBB61D6"/>
    <w:rsid w:val="1EBC27EF"/>
    <w:rsid w:val="1EC62D3E"/>
    <w:rsid w:val="1ECB5D04"/>
    <w:rsid w:val="1ED32941"/>
    <w:rsid w:val="1EDD2BC4"/>
    <w:rsid w:val="1EDE627F"/>
    <w:rsid w:val="1EE32FBA"/>
    <w:rsid w:val="1EF155D0"/>
    <w:rsid w:val="1EFA607C"/>
    <w:rsid w:val="1EFB3E45"/>
    <w:rsid w:val="1F066866"/>
    <w:rsid w:val="1F077A93"/>
    <w:rsid w:val="1F0C7056"/>
    <w:rsid w:val="1F0D7DC6"/>
    <w:rsid w:val="1F116DF1"/>
    <w:rsid w:val="1F3D6CBA"/>
    <w:rsid w:val="1F421C2B"/>
    <w:rsid w:val="1F460EC9"/>
    <w:rsid w:val="1F4B49CA"/>
    <w:rsid w:val="1F4F356D"/>
    <w:rsid w:val="1F5D036B"/>
    <w:rsid w:val="1F5D5C87"/>
    <w:rsid w:val="1F5D6E49"/>
    <w:rsid w:val="1F721E29"/>
    <w:rsid w:val="1F7B4CF2"/>
    <w:rsid w:val="1F8103CE"/>
    <w:rsid w:val="1F843A39"/>
    <w:rsid w:val="1F8B78A9"/>
    <w:rsid w:val="1F9C3EAA"/>
    <w:rsid w:val="1F9E4012"/>
    <w:rsid w:val="1FA13741"/>
    <w:rsid w:val="1FA7045E"/>
    <w:rsid w:val="1FAC1E15"/>
    <w:rsid w:val="1FB83A68"/>
    <w:rsid w:val="1FBF174C"/>
    <w:rsid w:val="1FC0234E"/>
    <w:rsid w:val="1FC349C6"/>
    <w:rsid w:val="1FCD2CE4"/>
    <w:rsid w:val="1FD441A9"/>
    <w:rsid w:val="1FDA787C"/>
    <w:rsid w:val="1FDE7CF5"/>
    <w:rsid w:val="1FFA53B1"/>
    <w:rsid w:val="20017109"/>
    <w:rsid w:val="200729D2"/>
    <w:rsid w:val="20084080"/>
    <w:rsid w:val="200A1FE2"/>
    <w:rsid w:val="200A5C94"/>
    <w:rsid w:val="200F23CC"/>
    <w:rsid w:val="20103635"/>
    <w:rsid w:val="20200867"/>
    <w:rsid w:val="20203184"/>
    <w:rsid w:val="202B5F67"/>
    <w:rsid w:val="20360727"/>
    <w:rsid w:val="203A440D"/>
    <w:rsid w:val="203A53C6"/>
    <w:rsid w:val="20473A48"/>
    <w:rsid w:val="20484444"/>
    <w:rsid w:val="20626B78"/>
    <w:rsid w:val="20631D63"/>
    <w:rsid w:val="2063425F"/>
    <w:rsid w:val="20773FB5"/>
    <w:rsid w:val="207B6128"/>
    <w:rsid w:val="20893B2C"/>
    <w:rsid w:val="20945BC1"/>
    <w:rsid w:val="20965590"/>
    <w:rsid w:val="20976A98"/>
    <w:rsid w:val="20990189"/>
    <w:rsid w:val="209C453B"/>
    <w:rsid w:val="209D57E7"/>
    <w:rsid w:val="20A04E82"/>
    <w:rsid w:val="20A77ECD"/>
    <w:rsid w:val="20AC5FF8"/>
    <w:rsid w:val="20AF2124"/>
    <w:rsid w:val="20B01858"/>
    <w:rsid w:val="20BC12EB"/>
    <w:rsid w:val="20BE7986"/>
    <w:rsid w:val="20C21754"/>
    <w:rsid w:val="20DC1BB5"/>
    <w:rsid w:val="20E50DD0"/>
    <w:rsid w:val="20F02564"/>
    <w:rsid w:val="20F07D5F"/>
    <w:rsid w:val="210A6535"/>
    <w:rsid w:val="210D5FC5"/>
    <w:rsid w:val="2110647D"/>
    <w:rsid w:val="2116591F"/>
    <w:rsid w:val="211733D7"/>
    <w:rsid w:val="21186996"/>
    <w:rsid w:val="21253E11"/>
    <w:rsid w:val="212562DF"/>
    <w:rsid w:val="2139541B"/>
    <w:rsid w:val="213A3BAB"/>
    <w:rsid w:val="21417169"/>
    <w:rsid w:val="21474A54"/>
    <w:rsid w:val="2155752E"/>
    <w:rsid w:val="215F5A76"/>
    <w:rsid w:val="21616E7A"/>
    <w:rsid w:val="216803D2"/>
    <w:rsid w:val="21691A49"/>
    <w:rsid w:val="216E5622"/>
    <w:rsid w:val="217A500C"/>
    <w:rsid w:val="218B1D9D"/>
    <w:rsid w:val="219572D3"/>
    <w:rsid w:val="219B7B8D"/>
    <w:rsid w:val="21AC717A"/>
    <w:rsid w:val="21B0584A"/>
    <w:rsid w:val="21B13B53"/>
    <w:rsid w:val="21B51580"/>
    <w:rsid w:val="21C25EC4"/>
    <w:rsid w:val="21CA1AD6"/>
    <w:rsid w:val="21E8008F"/>
    <w:rsid w:val="21F024C3"/>
    <w:rsid w:val="21F95C5A"/>
    <w:rsid w:val="21FE738E"/>
    <w:rsid w:val="22016828"/>
    <w:rsid w:val="221940C4"/>
    <w:rsid w:val="22247078"/>
    <w:rsid w:val="222D7FB8"/>
    <w:rsid w:val="22307CF0"/>
    <w:rsid w:val="223B21BE"/>
    <w:rsid w:val="223B6F8B"/>
    <w:rsid w:val="22452A01"/>
    <w:rsid w:val="2249189F"/>
    <w:rsid w:val="224D2AD9"/>
    <w:rsid w:val="225021B6"/>
    <w:rsid w:val="225D57E2"/>
    <w:rsid w:val="22634526"/>
    <w:rsid w:val="22735C3F"/>
    <w:rsid w:val="227906B9"/>
    <w:rsid w:val="2280354A"/>
    <w:rsid w:val="228220A4"/>
    <w:rsid w:val="228403F3"/>
    <w:rsid w:val="22895883"/>
    <w:rsid w:val="22943C12"/>
    <w:rsid w:val="229C65CF"/>
    <w:rsid w:val="229F7D0E"/>
    <w:rsid w:val="22A106EE"/>
    <w:rsid w:val="22AA306B"/>
    <w:rsid w:val="22B71DF5"/>
    <w:rsid w:val="22BD36B8"/>
    <w:rsid w:val="22BE5208"/>
    <w:rsid w:val="22C12BA0"/>
    <w:rsid w:val="22C164C9"/>
    <w:rsid w:val="22C75158"/>
    <w:rsid w:val="22DB7F64"/>
    <w:rsid w:val="22E750F8"/>
    <w:rsid w:val="22EE666E"/>
    <w:rsid w:val="23014207"/>
    <w:rsid w:val="23076916"/>
    <w:rsid w:val="230A4021"/>
    <w:rsid w:val="230F1E4E"/>
    <w:rsid w:val="232A26FA"/>
    <w:rsid w:val="232F60EE"/>
    <w:rsid w:val="23306CB5"/>
    <w:rsid w:val="233429D3"/>
    <w:rsid w:val="234C328F"/>
    <w:rsid w:val="23566DDC"/>
    <w:rsid w:val="235F3DCB"/>
    <w:rsid w:val="235F73CE"/>
    <w:rsid w:val="236F216E"/>
    <w:rsid w:val="23722BE7"/>
    <w:rsid w:val="237A2322"/>
    <w:rsid w:val="237B7101"/>
    <w:rsid w:val="237D6A68"/>
    <w:rsid w:val="23892FD7"/>
    <w:rsid w:val="23937D6D"/>
    <w:rsid w:val="239F3782"/>
    <w:rsid w:val="23A53E1E"/>
    <w:rsid w:val="23A87762"/>
    <w:rsid w:val="23B31E55"/>
    <w:rsid w:val="23B373E1"/>
    <w:rsid w:val="23B9402B"/>
    <w:rsid w:val="23C51108"/>
    <w:rsid w:val="23C536D6"/>
    <w:rsid w:val="23D223FC"/>
    <w:rsid w:val="23DA33C6"/>
    <w:rsid w:val="23DE1CFA"/>
    <w:rsid w:val="23E71F63"/>
    <w:rsid w:val="23F753B5"/>
    <w:rsid w:val="23FA58F8"/>
    <w:rsid w:val="23FF3DD1"/>
    <w:rsid w:val="24007544"/>
    <w:rsid w:val="2401075D"/>
    <w:rsid w:val="24044F4C"/>
    <w:rsid w:val="2408538F"/>
    <w:rsid w:val="240F37A9"/>
    <w:rsid w:val="24114B12"/>
    <w:rsid w:val="241638C5"/>
    <w:rsid w:val="241C74AE"/>
    <w:rsid w:val="24251D4C"/>
    <w:rsid w:val="24320867"/>
    <w:rsid w:val="24374A76"/>
    <w:rsid w:val="24394CB9"/>
    <w:rsid w:val="244268BF"/>
    <w:rsid w:val="24435A83"/>
    <w:rsid w:val="2459724F"/>
    <w:rsid w:val="245D3179"/>
    <w:rsid w:val="246A3E74"/>
    <w:rsid w:val="247375E9"/>
    <w:rsid w:val="24783DE7"/>
    <w:rsid w:val="247A6FFA"/>
    <w:rsid w:val="24815511"/>
    <w:rsid w:val="24910B95"/>
    <w:rsid w:val="249C3F57"/>
    <w:rsid w:val="24A86920"/>
    <w:rsid w:val="24B33383"/>
    <w:rsid w:val="24B50C4C"/>
    <w:rsid w:val="24B62C99"/>
    <w:rsid w:val="24BB08B9"/>
    <w:rsid w:val="24BB369A"/>
    <w:rsid w:val="24C95E80"/>
    <w:rsid w:val="24D35F38"/>
    <w:rsid w:val="24DD6ACF"/>
    <w:rsid w:val="24E33E09"/>
    <w:rsid w:val="24E67E07"/>
    <w:rsid w:val="24F41D83"/>
    <w:rsid w:val="24F457A0"/>
    <w:rsid w:val="24F51C09"/>
    <w:rsid w:val="24FA4FA6"/>
    <w:rsid w:val="250232FC"/>
    <w:rsid w:val="25031E35"/>
    <w:rsid w:val="25045F9C"/>
    <w:rsid w:val="25067F6D"/>
    <w:rsid w:val="250A13AD"/>
    <w:rsid w:val="250A1BD4"/>
    <w:rsid w:val="250A5E1F"/>
    <w:rsid w:val="25103C37"/>
    <w:rsid w:val="25123496"/>
    <w:rsid w:val="25131529"/>
    <w:rsid w:val="251E2FF7"/>
    <w:rsid w:val="251F1A68"/>
    <w:rsid w:val="25205808"/>
    <w:rsid w:val="25392176"/>
    <w:rsid w:val="254573DC"/>
    <w:rsid w:val="254578D6"/>
    <w:rsid w:val="25467058"/>
    <w:rsid w:val="254A3C7C"/>
    <w:rsid w:val="254D65DE"/>
    <w:rsid w:val="2554026F"/>
    <w:rsid w:val="25586A5A"/>
    <w:rsid w:val="25595B5D"/>
    <w:rsid w:val="255B74F0"/>
    <w:rsid w:val="25693B2F"/>
    <w:rsid w:val="257274D9"/>
    <w:rsid w:val="257A03A7"/>
    <w:rsid w:val="25906BE1"/>
    <w:rsid w:val="259C736C"/>
    <w:rsid w:val="259D5A6F"/>
    <w:rsid w:val="259E472C"/>
    <w:rsid w:val="25AD4E94"/>
    <w:rsid w:val="25BB328B"/>
    <w:rsid w:val="25BD2051"/>
    <w:rsid w:val="25D302D3"/>
    <w:rsid w:val="25E5254D"/>
    <w:rsid w:val="25E626FC"/>
    <w:rsid w:val="25F16B22"/>
    <w:rsid w:val="25FD4703"/>
    <w:rsid w:val="26021056"/>
    <w:rsid w:val="26042F85"/>
    <w:rsid w:val="261910AD"/>
    <w:rsid w:val="261D1928"/>
    <w:rsid w:val="262230C5"/>
    <w:rsid w:val="26290530"/>
    <w:rsid w:val="263A22E8"/>
    <w:rsid w:val="263E2A45"/>
    <w:rsid w:val="264019AE"/>
    <w:rsid w:val="264B0FE2"/>
    <w:rsid w:val="26607B3F"/>
    <w:rsid w:val="2680399F"/>
    <w:rsid w:val="26820C9D"/>
    <w:rsid w:val="269543EC"/>
    <w:rsid w:val="26967F2B"/>
    <w:rsid w:val="26A331FB"/>
    <w:rsid w:val="26B5748B"/>
    <w:rsid w:val="26B96CA8"/>
    <w:rsid w:val="26C31DBF"/>
    <w:rsid w:val="26CF39CC"/>
    <w:rsid w:val="26CF4C16"/>
    <w:rsid w:val="26CF7DBC"/>
    <w:rsid w:val="26DB508B"/>
    <w:rsid w:val="26E064ED"/>
    <w:rsid w:val="26E260B8"/>
    <w:rsid w:val="26E77C60"/>
    <w:rsid w:val="26E90153"/>
    <w:rsid w:val="26EF0127"/>
    <w:rsid w:val="26F64BA7"/>
    <w:rsid w:val="26F6667F"/>
    <w:rsid w:val="26FA42DF"/>
    <w:rsid w:val="26FF465E"/>
    <w:rsid w:val="26FF6473"/>
    <w:rsid w:val="27014B35"/>
    <w:rsid w:val="271462F0"/>
    <w:rsid w:val="27151384"/>
    <w:rsid w:val="271B5FAA"/>
    <w:rsid w:val="27210FD1"/>
    <w:rsid w:val="27255E21"/>
    <w:rsid w:val="272768E5"/>
    <w:rsid w:val="27341547"/>
    <w:rsid w:val="273D48FE"/>
    <w:rsid w:val="27402309"/>
    <w:rsid w:val="27495F03"/>
    <w:rsid w:val="275E17D7"/>
    <w:rsid w:val="276F5A82"/>
    <w:rsid w:val="27716BBB"/>
    <w:rsid w:val="277D509D"/>
    <w:rsid w:val="27813F8A"/>
    <w:rsid w:val="278810F6"/>
    <w:rsid w:val="279437A9"/>
    <w:rsid w:val="27A87B3A"/>
    <w:rsid w:val="27AB7981"/>
    <w:rsid w:val="27BE2432"/>
    <w:rsid w:val="27C3478F"/>
    <w:rsid w:val="27C81C4A"/>
    <w:rsid w:val="27CC1E47"/>
    <w:rsid w:val="27CF2F7F"/>
    <w:rsid w:val="27D430C8"/>
    <w:rsid w:val="27D614F9"/>
    <w:rsid w:val="27E343D9"/>
    <w:rsid w:val="27E46B2A"/>
    <w:rsid w:val="27EF0316"/>
    <w:rsid w:val="27FE2AA1"/>
    <w:rsid w:val="28090F5A"/>
    <w:rsid w:val="28121259"/>
    <w:rsid w:val="28236262"/>
    <w:rsid w:val="282C5BEE"/>
    <w:rsid w:val="28300BDB"/>
    <w:rsid w:val="28321054"/>
    <w:rsid w:val="2839385E"/>
    <w:rsid w:val="28480408"/>
    <w:rsid w:val="2852608B"/>
    <w:rsid w:val="285A2D8B"/>
    <w:rsid w:val="285C76C2"/>
    <w:rsid w:val="28642732"/>
    <w:rsid w:val="28690079"/>
    <w:rsid w:val="28807F93"/>
    <w:rsid w:val="28880425"/>
    <w:rsid w:val="28885E14"/>
    <w:rsid w:val="28921C7E"/>
    <w:rsid w:val="28970ECE"/>
    <w:rsid w:val="289D3C8D"/>
    <w:rsid w:val="28A37DF3"/>
    <w:rsid w:val="28A91C64"/>
    <w:rsid w:val="28AA2846"/>
    <w:rsid w:val="28B7419B"/>
    <w:rsid w:val="28BC7349"/>
    <w:rsid w:val="28DB4665"/>
    <w:rsid w:val="28E921BB"/>
    <w:rsid w:val="28F6079A"/>
    <w:rsid w:val="28FB2C85"/>
    <w:rsid w:val="28FC1B41"/>
    <w:rsid w:val="28FE02A2"/>
    <w:rsid w:val="29012336"/>
    <w:rsid w:val="2906226C"/>
    <w:rsid w:val="290E08EA"/>
    <w:rsid w:val="29115413"/>
    <w:rsid w:val="291C477F"/>
    <w:rsid w:val="292A43BF"/>
    <w:rsid w:val="292D6F51"/>
    <w:rsid w:val="293002CE"/>
    <w:rsid w:val="293A14D3"/>
    <w:rsid w:val="293A4485"/>
    <w:rsid w:val="293E61E9"/>
    <w:rsid w:val="29432AA8"/>
    <w:rsid w:val="295B3A4D"/>
    <w:rsid w:val="295C6778"/>
    <w:rsid w:val="295E4C59"/>
    <w:rsid w:val="296B72BD"/>
    <w:rsid w:val="297B2F44"/>
    <w:rsid w:val="297C72C2"/>
    <w:rsid w:val="29892ABB"/>
    <w:rsid w:val="298B033A"/>
    <w:rsid w:val="298F1DC8"/>
    <w:rsid w:val="29907AEB"/>
    <w:rsid w:val="299D7ED6"/>
    <w:rsid w:val="29B91983"/>
    <w:rsid w:val="29BF3440"/>
    <w:rsid w:val="29BF4407"/>
    <w:rsid w:val="29C022D8"/>
    <w:rsid w:val="29CB27ED"/>
    <w:rsid w:val="29CD3901"/>
    <w:rsid w:val="29CE0543"/>
    <w:rsid w:val="29CF0B24"/>
    <w:rsid w:val="29D7536B"/>
    <w:rsid w:val="29E31955"/>
    <w:rsid w:val="29E41AD2"/>
    <w:rsid w:val="29E820E3"/>
    <w:rsid w:val="29ED7D3F"/>
    <w:rsid w:val="29F12BBE"/>
    <w:rsid w:val="29F31CC5"/>
    <w:rsid w:val="29F8597F"/>
    <w:rsid w:val="2A112018"/>
    <w:rsid w:val="2A185F78"/>
    <w:rsid w:val="2A1D7215"/>
    <w:rsid w:val="2A281ECF"/>
    <w:rsid w:val="2A2A12F8"/>
    <w:rsid w:val="2A2B2B4C"/>
    <w:rsid w:val="2A321E68"/>
    <w:rsid w:val="2A3C3CC5"/>
    <w:rsid w:val="2A4939A0"/>
    <w:rsid w:val="2A5C6F04"/>
    <w:rsid w:val="2A5F3919"/>
    <w:rsid w:val="2A643162"/>
    <w:rsid w:val="2A667898"/>
    <w:rsid w:val="2A685EBB"/>
    <w:rsid w:val="2A6D4B0F"/>
    <w:rsid w:val="2A7334E0"/>
    <w:rsid w:val="2A736F49"/>
    <w:rsid w:val="2A7D510C"/>
    <w:rsid w:val="2A822174"/>
    <w:rsid w:val="2A8E5E53"/>
    <w:rsid w:val="2A94256A"/>
    <w:rsid w:val="2A9E6163"/>
    <w:rsid w:val="2AB749A5"/>
    <w:rsid w:val="2ACB2961"/>
    <w:rsid w:val="2AD31E96"/>
    <w:rsid w:val="2AD66766"/>
    <w:rsid w:val="2AD84A43"/>
    <w:rsid w:val="2AD870E3"/>
    <w:rsid w:val="2AD959BB"/>
    <w:rsid w:val="2AE0594F"/>
    <w:rsid w:val="2AE959A3"/>
    <w:rsid w:val="2AF172BF"/>
    <w:rsid w:val="2AF36AFD"/>
    <w:rsid w:val="2AFC10CB"/>
    <w:rsid w:val="2B0919B8"/>
    <w:rsid w:val="2B171A38"/>
    <w:rsid w:val="2B1A6660"/>
    <w:rsid w:val="2B1B75D1"/>
    <w:rsid w:val="2B1C2373"/>
    <w:rsid w:val="2B200AE4"/>
    <w:rsid w:val="2B2044F4"/>
    <w:rsid w:val="2B397093"/>
    <w:rsid w:val="2B3A6BB7"/>
    <w:rsid w:val="2B3C2A64"/>
    <w:rsid w:val="2B4865A4"/>
    <w:rsid w:val="2B4E0B96"/>
    <w:rsid w:val="2B596323"/>
    <w:rsid w:val="2B6C2C13"/>
    <w:rsid w:val="2B6F15D0"/>
    <w:rsid w:val="2B7B3997"/>
    <w:rsid w:val="2B7D73F2"/>
    <w:rsid w:val="2B7F6672"/>
    <w:rsid w:val="2B801925"/>
    <w:rsid w:val="2B8802A2"/>
    <w:rsid w:val="2B942D9D"/>
    <w:rsid w:val="2B995194"/>
    <w:rsid w:val="2BAB4764"/>
    <w:rsid w:val="2BBE4423"/>
    <w:rsid w:val="2BC3366C"/>
    <w:rsid w:val="2BC50211"/>
    <w:rsid w:val="2BCF32C4"/>
    <w:rsid w:val="2BD15E7E"/>
    <w:rsid w:val="2BDA74B5"/>
    <w:rsid w:val="2BDB6510"/>
    <w:rsid w:val="2BE563F3"/>
    <w:rsid w:val="2BF24907"/>
    <w:rsid w:val="2BF47D13"/>
    <w:rsid w:val="2C0337F0"/>
    <w:rsid w:val="2C0E1BFB"/>
    <w:rsid w:val="2C105355"/>
    <w:rsid w:val="2C223592"/>
    <w:rsid w:val="2C240A43"/>
    <w:rsid w:val="2C24749F"/>
    <w:rsid w:val="2C2E0B2E"/>
    <w:rsid w:val="2C4422C0"/>
    <w:rsid w:val="2C4647B0"/>
    <w:rsid w:val="2C467809"/>
    <w:rsid w:val="2C47609C"/>
    <w:rsid w:val="2C561AE1"/>
    <w:rsid w:val="2C6102E7"/>
    <w:rsid w:val="2C6E57A6"/>
    <w:rsid w:val="2C7341DD"/>
    <w:rsid w:val="2C7D05B4"/>
    <w:rsid w:val="2C83614E"/>
    <w:rsid w:val="2C863D5F"/>
    <w:rsid w:val="2C9D6206"/>
    <w:rsid w:val="2CA8756D"/>
    <w:rsid w:val="2CAB013C"/>
    <w:rsid w:val="2CB045C6"/>
    <w:rsid w:val="2CB97986"/>
    <w:rsid w:val="2CC83A49"/>
    <w:rsid w:val="2CE23B85"/>
    <w:rsid w:val="2CF11C64"/>
    <w:rsid w:val="2CF71805"/>
    <w:rsid w:val="2D0D7BCC"/>
    <w:rsid w:val="2D12127C"/>
    <w:rsid w:val="2D172616"/>
    <w:rsid w:val="2D1C0C4D"/>
    <w:rsid w:val="2D2077CB"/>
    <w:rsid w:val="2D292AF7"/>
    <w:rsid w:val="2D2E215A"/>
    <w:rsid w:val="2D35543D"/>
    <w:rsid w:val="2D357B7C"/>
    <w:rsid w:val="2D470641"/>
    <w:rsid w:val="2D5856AA"/>
    <w:rsid w:val="2D5A404A"/>
    <w:rsid w:val="2D744D37"/>
    <w:rsid w:val="2D776393"/>
    <w:rsid w:val="2D84178D"/>
    <w:rsid w:val="2D887FF9"/>
    <w:rsid w:val="2D8A21D7"/>
    <w:rsid w:val="2D8F4040"/>
    <w:rsid w:val="2DA12015"/>
    <w:rsid w:val="2DBE067B"/>
    <w:rsid w:val="2DC0042F"/>
    <w:rsid w:val="2DC71907"/>
    <w:rsid w:val="2DDB756D"/>
    <w:rsid w:val="2DE660FD"/>
    <w:rsid w:val="2DE7384E"/>
    <w:rsid w:val="2DEA0732"/>
    <w:rsid w:val="2DEC21A0"/>
    <w:rsid w:val="2DEE08CC"/>
    <w:rsid w:val="2DF91985"/>
    <w:rsid w:val="2E0231E3"/>
    <w:rsid w:val="2E0E6EE6"/>
    <w:rsid w:val="2E142E18"/>
    <w:rsid w:val="2E1B0192"/>
    <w:rsid w:val="2E2A2FD2"/>
    <w:rsid w:val="2E2E55BF"/>
    <w:rsid w:val="2E332316"/>
    <w:rsid w:val="2E4B324D"/>
    <w:rsid w:val="2E507235"/>
    <w:rsid w:val="2E54324A"/>
    <w:rsid w:val="2E546455"/>
    <w:rsid w:val="2E5719E1"/>
    <w:rsid w:val="2E58407D"/>
    <w:rsid w:val="2E593F36"/>
    <w:rsid w:val="2E5E01A2"/>
    <w:rsid w:val="2E774FCF"/>
    <w:rsid w:val="2E83199B"/>
    <w:rsid w:val="2E865042"/>
    <w:rsid w:val="2E883F6E"/>
    <w:rsid w:val="2E8B3E4F"/>
    <w:rsid w:val="2E8C6FD2"/>
    <w:rsid w:val="2E987FB9"/>
    <w:rsid w:val="2E9F5139"/>
    <w:rsid w:val="2EA33849"/>
    <w:rsid w:val="2EA41A7A"/>
    <w:rsid w:val="2EA54C3C"/>
    <w:rsid w:val="2EA640B5"/>
    <w:rsid w:val="2EAB1239"/>
    <w:rsid w:val="2EAD50D3"/>
    <w:rsid w:val="2EB02600"/>
    <w:rsid w:val="2EC10EF2"/>
    <w:rsid w:val="2EC4442F"/>
    <w:rsid w:val="2ED32860"/>
    <w:rsid w:val="2ED75A5E"/>
    <w:rsid w:val="2EF03401"/>
    <w:rsid w:val="2EF141C9"/>
    <w:rsid w:val="2EF247F6"/>
    <w:rsid w:val="2EF4325E"/>
    <w:rsid w:val="2EF97DF1"/>
    <w:rsid w:val="2F0152C9"/>
    <w:rsid w:val="2F033E15"/>
    <w:rsid w:val="2F0E4715"/>
    <w:rsid w:val="2F177B73"/>
    <w:rsid w:val="2F192F8D"/>
    <w:rsid w:val="2F1D2544"/>
    <w:rsid w:val="2F1E1C75"/>
    <w:rsid w:val="2F201CED"/>
    <w:rsid w:val="2F227416"/>
    <w:rsid w:val="2F3B2982"/>
    <w:rsid w:val="2F414064"/>
    <w:rsid w:val="2F575AC4"/>
    <w:rsid w:val="2F614408"/>
    <w:rsid w:val="2F652C94"/>
    <w:rsid w:val="2F6B2FE0"/>
    <w:rsid w:val="2F774EA9"/>
    <w:rsid w:val="2F786DBB"/>
    <w:rsid w:val="2F8B1E2D"/>
    <w:rsid w:val="2F8B6041"/>
    <w:rsid w:val="2F983E31"/>
    <w:rsid w:val="2FA67BE1"/>
    <w:rsid w:val="2FAA36C7"/>
    <w:rsid w:val="2FAD676C"/>
    <w:rsid w:val="2FC609FB"/>
    <w:rsid w:val="2FCC4CBA"/>
    <w:rsid w:val="2FCD71CB"/>
    <w:rsid w:val="2FCF5062"/>
    <w:rsid w:val="2FD7000E"/>
    <w:rsid w:val="2FDA611B"/>
    <w:rsid w:val="2FE0142E"/>
    <w:rsid w:val="2FE54374"/>
    <w:rsid w:val="2FEB0346"/>
    <w:rsid w:val="2FF336B5"/>
    <w:rsid w:val="30061025"/>
    <w:rsid w:val="30150FF6"/>
    <w:rsid w:val="30191EBD"/>
    <w:rsid w:val="302D6E08"/>
    <w:rsid w:val="30392B64"/>
    <w:rsid w:val="303B7AC4"/>
    <w:rsid w:val="303F5B53"/>
    <w:rsid w:val="30494459"/>
    <w:rsid w:val="304B3424"/>
    <w:rsid w:val="30593EC8"/>
    <w:rsid w:val="305A36CD"/>
    <w:rsid w:val="306B024A"/>
    <w:rsid w:val="3072428F"/>
    <w:rsid w:val="3077686B"/>
    <w:rsid w:val="307E33FA"/>
    <w:rsid w:val="30825206"/>
    <w:rsid w:val="3083287F"/>
    <w:rsid w:val="30941E3D"/>
    <w:rsid w:val="30960982"/>
    <w:rsid w:val="309B1E26"/>
    <w:rsid w:val="309E725E"/>
    <w:rsid w:val="30AA16F6"/>
    <w:rsid w:val="30B75856"/>
    <w:rsid w:val="30C20E65"/>
    <w:rsid w:val="30CC217B"/>
    <w:rsid w:val="30DC488E"/>
    <w:rsid w:val="30E16A86"/>
    <w:rsid w:val="30E3081F"/>
    <w:rsid w:val="30F777EC"/>
    <w:rsid w:val="30F94587"/>
    <w:rsid w:val="31126BC0"/>
    <w:rsid w:val="31176FBA"/>
    <w:rsid w:val="312548D6"/>
    <w:rsid w:val="31390E12"/>
    <w:rsid w:val="31472E72"/>
    <w:rsid w:val="31477EC0"/>
    <w:rsid w:val="314D4F8F"/>
    <w:rsid w:val="31551934"/>
    <w:rsid w:val="31583277"/>
    <w:rsid w:val="315B34A8"/>
    <w:rsid w:val="315B6FA4"/>
    <w:rsid w:val="315E58BF"/>
    <w:rsid w:val="31600CA5"/>
    <w:rsid w:val="31622CCC"/>
    <w:rsid w:val="316D5CE1"/>
    <w:rsid w:val="317121BB"/>
    <w:rsid w:val="31751B0F"/>
    <w:rsid w:val="31777839"/>
    <w:rsid w:val="317E50AC"/>
    <w:rsid w:val="31825895"/>
    <w:rsid w:val="318B3768"/>
    <w:rsid w:val="318F6052"/>
    <w:rsid w:val="319B7DA4"/>
    <w:rsid w:val="31A063F5"/>
    <w:rsid w:val="31A23BB9"/>
    <w:rsid w:val="31A335D9"/>
    <w:rsid w:val="31A343D3"/>
    <w:rsid w:val="31AF330A"/>
    <w:rsid w:val="31BE58A5"/>
    <w:rsid w:val="31E51304"/>
    <w:rsid w:val="31E52F71"/>
    <w:rsid w:val="31E57099"/>
    <w:rsid w:val="31E63AB9"/>
    <w:rsid w:val="31EA0E60"/>
    <w:rsid w:val="31EB7A5B"/>
    <w:rsid w:val="31EF1388"/>
    <w:rsid w:val="31F34CB3"/>
    <w:rsid w:val="31F743EB"/>
    <w:rsid w:val="320E2E30"/>
    <w:rsid w:val="32133B48"/>
    <w:rsid w:val="32280C43"/>
    <w:rsid w:val="32351445"/>
    <w:rsid w:val="32395F5E"/>
    <w:rsid w:val="323C7A8E"/>
    <w:rsid w:val="324C791B"/>
    <w:rsid w:val="325B4746"/>
    <w:rsid w:val="326E4351"/>
    <w:rsid w:val="3274149D"/>
    <w:rsid w:val="32754525"/>
    <w:rsid w:val="328A228F"/>
    <w:rsid w:val="329655A6"/>
    <w:rsid w:val="32A12E41"/>
    <w:rsid w:val="32A82270"/>
    <w:rsid w:val="32A82A9E"/>
    <w:rsid w:val="32C93F4E"/>
    <w:rsid w:val="32D33102"/>
    <w:rsid w:val="32D332CE"/>
    <w:rsid w:val="32E60818"/>
    <w:rsid w:val="32F052CB"/>
    <w:rsid w:val="32FA0DF8"/>
    <w:rsid w:val="32FB12D2"/>
    <w:rsid w:val="33013B4F"/>
    <w:rsid w:val="33067A08"/>
    <w:rsid w:val="3316169C"/>
    <w:rsid w:val="3316511D"/>
    <w:rsid w:val="331A4FEC"/>
    <w:rsid w:val="331F6285"/>
    <w:rsid w:val="332B0CD8"/>
    <w:rsid w:val="332C2F01"/>
    <w:rsid w:val="332C4894"/>
    <w:rsid w:val="3333424C"/>
    <w:rsid w:val="334015B4"/>
    <w:rsid w:val="33434744"/>
    <w:rsid w:val="33566F90"/>
    <w:rsid w:val="33586A54"/>
    <w:rsid w:val="335D3031"/>
    <w:rsid w:val="336B063A"/>
    <w:rsid w:val="33766482"/>
    <w:rsid w:val="33795D4F"/>
    <w:rsid w:val="3389489E"/>
    <w:rsid w:val="338A618E"/>
    <w:rsid w:val="33971302"/>
    <w:rsid w:val="339A37B6"/>
    <w:rsid w:val="339C1482"/>
    <w:rsid w:val="339E71A8"/>
    <w:rsid w:val="33A151BB"/>
    <w:rsid w:val="33B15FF9"/>
    <w:rsid w:val="33BD4B8E"/>
    <w:rsid w:val="33C13F2F"/>
    <w:rsid w:val="33C14333"/>
    <w:rsid w:val="33C57962"/>
    <w:rsid w:val="33C62114"/>
    <w:rsid w:val="33CC0274"/>
    <w:rsid w:val="33D87DD1"/>
    <w:rsid w:val="33EA2BB5"/>
    <w:rsid w:val="33EC684D"/>
    <w:rsid w:val="33F01CCC"/>
    <w:rsid w:val="33F623D2"/>
    <w:rsid w:val="33F63660"/>
    <w:rsid w:val="33FD1C96"/>
    <w:rsid w:val="33FF723C"/>
    <w:rsid w:val="3409299C"/>
    <w:rsid w:val="3410207A"/>
    <w:rsid w:val="34171645"/>
    <w:rsid w:val="341B2D35"/>
    <w:rsid w:val="342164F5"/>
    <w:rsid w:val="34236B46"/>
    <w:rsid w:val="3431153A"/>
    <w:rsid w:val="34334FD0"/>
    <w:rsid w:val="34343151"/>
    <w:rsid w:val="344165CB"/>
    <w:rsid w:val="344A082F"/>
    <w:rsid w:val="345B1C51"/>
    <w:rsid w:val="34A315BE"/>
    <w:rsid w:val="34B45B8A"/>
    <w:rsid w:val="34BE6177"/>
    <w:rsid w:val="34C0431B"/>
    <w:rsid w:val="34C11D20"/>
    <w:rsid w:val="34D05012"/>
    <w:rsid w:val="34E14AEC"/>
    <w:rsid w:val="34ED50D2"/>
    <w:rsid w:val="34EF189A"/>
    <w:rsid w:val="34F208EA"/>
    <w:rsid w:val="35024A93"/>
    <w:rsid w:val="350B0749"/>
    <w:rsid w:val="351468B3"/>
    <w:rsid w:val="3516441D"/>
    <w:rsid w:val="351B4CAF"/>
    <w:rsid w:val="351D0B70"/>
    <w:rsid w:val="35404FE2"/>
    <w:rsid w:val="35422F12"/>
    <w:rsid w:val="354370EE"/>
    <w:rsid w:val="354746ED"/>
    <w:rsid w:val="354D52D3"/>
    <w:rsid w:val="3574368C"/>
    <w:rsid w:val="35751B79"/>
    <w:rsid w:val="35807FDC"/>
    <w:rsid w:val="35854ECC"/>
    <w:rsid w:val="358C7847"/>
    <w:rsid w:val="35A24AD2"/>
    <w:rsid w:val="35A81F93"/>
    <w:rsid w:val="35B72671"/>
    <w:rsid w:val="35C22DD9"/>
    <w:rsid w:val="35C91F13"/>
    <w:rsid w:val="35D01D3C"/>
    <w:rsid w:val="35D143B3"/>
    <w:rsid w:val="35D16FE4"/>
    <w:rsid w:val="35D51498"/>
    <w:rsid w:val="35EF3197"/>
    <w:rsid w:val="35F93C95"/>
    <w:rsid w:val="35FA5802"/>
    <w:rsid w:val="36014B35"/>
    <w:rsid w:val="360A256C"/>
    <w:rsid w:val="360A6C3C"/>
    <w:rsid w:val="36183741"/>
    <w:rsid w:val="362A754F"/>
    <w:rsid w:val="362E4C5E"/>
    <w:rsid w:val="3647329E"/>
    <w:rsid w:val="365322E1"/>
    <w:rsid w:val="36587DEF"/>
    <w:rsid w:val="36603333"/>
    <w:rsid w:val="366A79AD"/>
    <w:rsid w:val="367D3CD3"/>
    <w:rsid w:val="368832F6"/>
    <w:rsid w:val="369627D4"/>
    <w:rsid w:val="369802C1"/>
    <w:rsid w:val="36A454CF"/>
    <w:rsid w:val="36A71CC8"/>
    <w:rsid w:val="36B92F79"/>
    <w:rsid w:val="36BD00BF"/>
    <w:rsid w:val="36C16D13"/>
    <w:rsid w:val="36C85CFB"/>
    <w:rsid w:val="36CF3627"/>
    <w:rsid w:val="36D331DD"/>
    <w:rsid w:val="36D71088"/>
    <w:rsid w:val="36D83068"/>
    <w:rsid w:val="36D976F9"/>
    <w:rsid w:val="36E77716"/>
    <w:rsid w:val="36E8434B"/>
    <w:rsid w:val="36F647CA"/>
    <w:rsid w:val="36F7661F"/>
    <w:rsid w:val="36F76C5E"/>
    <w:rsid w:val="36F93443"/>
    <w:rsid w:val="36FB035D"/>
    <w:rsid w:val="36FD52ED"/>
    <w:rsid w:val="36FE5CB7"/>
    <w:rsid w:val="36FF5A48"/>
    <w:rsid w:val="37036D58"/>
    <w:rsid w:val="370963B0"/>
    <w:rsid w:val="370E5E96"/>
    <w:rsid w:val="371027B2"/>
    <w:rsid w:val="37130219"/>
    <w:rsid w:val="37176A94"/>
    <w:rsid w:val="371B7223"/>
    <w:rsid w:val="37226A87"/>
    <w:rsid w:val="372323D2"/>
    <w:rsid w:val="372359ED"/>
    <w:rsid w:val="372670C5"/>
    <w:rsid w:val="372D736A"/>
    <w:rsid w:val="373C01C9"/>
    <w:rsid w:val="373E20EE"/>
    <w:rsid w:val="374168D1"/>
    <w:rsid w:val="37501D5B"/>
    <w:rsid w:val="37692CF2"/>
    <w:rsid w:val="37714C4E"/>
    <w:rsid w:val="37775DAD"/>
    <w:rsid w:val="37786F06"/>
    <w:rsid w:val="377E5337"/>
    <w:rsid w:val="37834C15"/>
    <w:rsid w:val="378454F9"/>
    <w:rsid w:val="378753D1"/>
    <w:rsid w:val="37A77D2A"/>
    <w:rsid w:val="37AA0043"/>
    <w:rsid w:val="37AA0E37"/>
    <w:rsid w:val="37B21FD5"/>
    <w:rsid w:val="37B74BFC"/>
    <w:rsid w:val="37B841FE"/>
    <w:rsid w:val="37BE7F91"/>
    <w:rsid w:val="37C8019D"/>
    <w:rsid w:val="37D46F30"/>
    <w:rsid w:val="37D87E24"/>
    <w:rsid w:val="37DD151F"/>
    <w:rsid w:val="37DE6966"/>
    <w:rsid w:val="37EB3D74"/>
    <w:rsid w:val="37FA7D92"/>
    <w:rsid w:val="38026626"/>
    <w:rsid w:val="380972AE"/>
    <w:rsid w:val="380A2ED4"/>
    <w:rsid w:val="380C6ED8"/>
    <w:rsid w:val="38104306"/>
    <w:rsid w:val="381B1C56"/>
    <w:rsid w:val="38307061"/>
    <w:rsid w:val="38324C9D"/>
    <w:rsid w:val="38413F91"/>
    <w:rsid w:val="38427113"/>
    <w:rsid w:val="38534D57"/>
    <w:rsid w:val="38592E44"/>
    <w:rsid w:val="385B14A1"/>
    <w:rsid w:val="385F2DB5"/>
    <w:rsid w:val="38685E5E"/>
    <w:rsid w:val="386F0A4B"/>
    <w:rsid w:val="38734E03"/>
    <w:rsid w:val="3881170D"/>
    <w:rsid w:val="38825131"/>
    <w:rsid w:val="388313D1"/>
    <w:rsid w:val="388E12B7"/>
    <w:rsid w:val="38AD6F05"/>
    <w:rsid w:val="38B400A9"/>
    <w:rsid w:val="38BB72CA"/>
    <w:rsid w:val="38C7509D"/>
    <w:rsid w:val="38E95D99"/>
    <w:rsid w:val="38F067E6"/>
    <w:rsid w:val="38FE48A1"/>
    <w:rsid w:val="39097C7C"/>
    <w:rsid w:val="390A242A"/>
    <w:rsid w:val="391303F3"/>
    <w:rsid w:val="391508AA"/>
    <w:rsid w:val="391B63C0"/>
    <w:rsid w:val="391D5968"/>
    <w:rsid w:val="391D6F3E"/>
    <w:rsid w:val="392B10C5"/>
    <w:rsid w:val="39335C26"/>
    <w:rsid w:val="393C781C"/>
    <w:rsid w:val="393C7CC5"/>
    <w:rsid w:val="394B2972"/>
    <w:rsid w:val="394D6523"/>
    <w:rsid w:val="39560EEE"/>
    <w:rsid w:val="395B65FC"/>
    <w:rsid w:val="39635D08"/>
    <w:rsid w:val="39680A37"/>
    <w:rsid w:val="396A223C"/>
    <w:rsid w:val="396F54EB"/>
    <w:rsid w:val="3970258B"/>
    <w:rsid w:val="39732063"/>
    <w:rsid w:val="39742DEF"/>
    <w:rsid w:val="3976433A"/>
    <w:rsid w:val="397B76C0"/>
    <w:rsid w:val="39881E46"/>
    <w:rsid w:val="398B71AB"/>
    <w:rsid w:val="398E4252"/>
    <w:rsid w:val="39923399"/>
    <w:rsid w:val="3993769D"/>
    <w:rsid w:val="399B5587"/>
    <w:rsid w:val="39A3649D"/>
    <w:rsid w:val="39A64190"/>
    <w:rsid w:val="39AA419C"/>
    <w:rsid w:val="39B87D9C"/>
    <w:rsid w:val="39B929BD"/>
    <w:rsid w:val="39C33858"/>
    <w:rsid w:val="39CD3D03"/>
    <w:rsid w:val="39CF643A"/>
    <w:rsid w:val="39DA0F22"/>
    <w:rsid w:val="39DA38C8"/>
    <w:rsid w:val="39DD6A51"/>
    <w:rsid w:val="39DE25D8"/>
    <w:rsid w:val="39E0349C"/>
    <w:rsid w:val="39E536B1"/>
    <w:rsid w:val="39E839B6"/>
    <w:rsid w:val="39E941E0"/>
    <w:rsid w:val="39EB77ED"/>
    <w:rsid w:val="39ED4091"/>
    <w:rsid w:val="3A023B19"/>
    <w:rsid w:val="3A1A7DC6"/>
    <w:rsid w:val="3A1F2BAB"/>
    <w:rsid w:val="3A265A40"/>
    <w:rsid w:val="3A287D52"/>
    <w:rsid w:val="3A32505F"/>
    <w:rsid w:val="3A3719CA"/>
    <w:rsid w:val="3A3B0F6F"/>
    <w:rsid w:val="3A400797"/>
    <w:rsid w:val="3A4D6628"/>
    <w:rsid w:val="3A5C25E6"/>
    <w:rsid w:val="3A5F2705"/>
    <w:rsid w:val="3A704C82"/>
    <w:rsid w:val="3A7E325C"/>
    <w:rsid w:val="3A8075D7"/>
    <w:rsid w:val="3A82210D"/>
    <w:rsid w:val="3A826B4D"/>
    <w:rsid w:val="3A875A60"/>
    <w:rsid w:val="3A8827BC"/>
    <w:rsid w:val="3A8937C3"/>
    <w:rsid w:val="3AA94648"/>
    <w:rsid w:val="3AB846E7"/>
    <w:rsid w:val="3AC11FA4"/>
    <w:rsid w:val="3AC26685"/>
    <w:rsid w:val="3AC50DB3"/>
    <w:rsid w:val="3AD30BFA"/>
    <w:rsid w:val="3AD326A8"/>
    <w:rsid w:val="3AD41B9A"/>
    <w:rsid w:val="3AE10AF6"/>
    <w:rsid w:val="3AEA6E12"/>
    <w:rsid w:val="3AED2291"/>
    <w:rsid w:val="3AF53723"/>
    <w:rsid w:val="3B047F4A"/>
    <w:rsid w:val="3B0B2F34"/>
    <w:rsid w:val="3B0F01B6"/>
    <w:rsid w:val="3B240783"/>
    <w:rsid w:val="3B267ECF"/>
    <w:rsid w:val="3B343A08"/>
    <w:rsid w:val="3B3F1094"/>
    <w:rsid w:val="3B5542A9"/>
    <w:rsid w:val="3B5C1327"/>
    <w:rsid w:val="3B7B3DFF"/>
    <w:rsid w:val="3B875978"/>
    <w:rsid w:val="3B963E0A"/>
    <w:rsid w:val="3B9B70A7"/>
    <w:rsid w:val="3BB222AE"/>
    <w:rsid w:val="3BB61C0F"/>
    <w:rsid w:val="3BC40071"/>
    <w:rsid w:val="3BCC035E"/>
    <w:rsid w:val="3BD313BE"/>
    <w:rsid w:val="3BE34A7D"/>
    <w:rsid w:val="3BE975FB"/>
    <w:rsid w:val="3BEC65CA"/>
    <w:rsid w:val="3BEE75C4"/>
    <w:rsid w:val="3BFC4CAD"/>
    <w:rsid w:val="3BFD0C0C"/>
    <w:rsid w:val="3C011C6D"/>
    <w:rsid w:val="3C02557E"/>
    <w:rsid w:val="3C07690F"/>
    <w:rsid w:val="3C086AFC"/>
    <w:rsid w:val="3C1133A7"/>
    <w:rsid w:val="3C196252"/>
    <w:rsid w:val="3C1E73A8"/>
    <w:rsid w:val="3C223C21"/>
    <w:rsid w:val="3C253C8F"/>
    <w:rsid w:val="3C262F6F"/>
    <w:rsid w:val="3C2914B1"/>
    <w:rsid w:val="3C3265AD"/>
    <w:rsid w:val="3C377565"/>
    <w:rsid w:val="3C513009"/>
    <w:rsid w:val="3C621827"/>
    <w:rsid w:val="3C731B19"/>
    <w:rsid w:val="3C735974"/>
    <w:rsid w:val="3C790271"/>
    <w:rsid w:val="3C80528A"/>
    <w:rsid w:val="3C816BF1"/>
    <w:rsid w:val="3C8C106A"/>
    <w:rsid w:val="3C921ED3"/>
    <w:rsid w:val="3CB92586"/>
    <w:rsid w:val="3CBC17DD"/>
    <w:rsid w:val="3CC068DC"/>
    <w:rsid w:val="3CC62AD3"/>
    <w:rsid w:val="3CCA428F"/>
    <w:rsid w:val="3CCB0E0C"/>
    <w:rsid w:val="3CCD248F"/>
    <w:rsid w:val="3CEC43C2"/>
    <w:rsid w:val="3CEF1D00"/>
    <w:rsid w:val="3CF44DF1"/>
    <w:rsid w:val="3CFC3902"/>
    <w:rsid w:val="3CFF2092"/>
    <w:rsid w:val="3D09739A"/>
    <w:rsid w:val="3D0D0745"/>
    <w:rsid w:val="3D1B5167"/>
    <w:rsid w:val="3D254885"/>
    <w:rsid w:val="3D281461"/>
    <w:rsid w:val="3D2C714B"/>
    <w:rsid w:val="3D3462DC"/>
    <w:rsid w:val="3D3750F7"/>
    <w:rsid w:val="3D4367A6"/>
    <w:rsid w:val="3D4639DA"/>
    <w:rsid w:val="3D4A307E"/>
    <w:rsid w:val="3D5B66D7"/>
    <w:rsid w:val="3D7B695D"/>
    <w:rsid w:val="3D7D4E70"/>
    <w:rsid w:val="3D8322C9"/>
    <w:rsid w:val="3D9363A2"/>
    <w:rsid w:val="3D9573C1"/>
    <w:rsid w:val="3DBF0717"/>
    <w:rsid w:val="3DC26F2E"/>
    <w:rsid w:val="3DC42DFC"/>
    <w:rsid w:val="3DC52959"/>
    <w:rsid w:val="3DC80C08"/>
    <w:rsid w:val="3DDE114A"/>
    <w:rsid w:val="3DE01FC7"/>
    <w:rsid w:val="3E0945C4"/>
    <w:rsid w:val="3E0C3499"/>
    <w:rsid w:val="3E0F037D"/>
    <w:rsid w:val="3E1E2485"/>
    <w:rsid w:val="3E231DBE"/>
    <w:rsid w:val="3E294B70"/>
    <w:rsid w:val="3E2D0450"/>
    <w:rsid w:val="3E2E77E0"/>
    <w:rsid w:val="3E341BCD"/>
    <w:rsid w:val="3E435ABA"/>
    <w:rsid w:val="3E456C4B"/>
    <w:rsid w:val="3E55027C"/>
    <w:rsid w:val="3E5E2278"/>
    <w:rsid w:val="3E604B84"/>
    <w:rsid w:val="3E7326D5"/>
    <w:rsid w:val="3E7B056C"/>
    <w:rsid w:val="3E7F08B1"/>
    <w:rsid w:val="3E8011C7"/>
    <w:rsid w:val="3E8169FC"/>
    <w:rsid w:val="3E842D9A"/>
    <w:rsid w:val="3E8F51FD"/>
    <w:rsid w:val="3E923994"/>
    <w:rsid w:val="3E933710"/>
    <w:rsid w:val="3E98049C"/>
    <w:rsid w:val="3EA350F2"/>
    <w:rsid w:val="3EA42697"/>
    <w:rsid w:val="3EA46B27"/>
    <w:rsid w:val="3EAA044F"/>
    <w:rsid w:val="3EAD71ED"/>
    <w:rsid w:val="3EAE4CB6"/>
    <w:rsid w:val="3EB43FA9"/>
    <w:rsid w:val="3EB87667"/>
    <w:rsid w:val="3EC3128F"/>
    <w:rsid w:val="3EC5689E"/>
    <w:rsid w:val="3EC62DBD"/>
    <w:rsid w:val="3ECD42F7"/>
    <w:rsid w:val="3ED70CA4"/>
    <w:rsid w:val="3ED80620"/>
    <w:rsid w:val="3ED97007"/>
    <w:rsid w:val="3EE36E4D"/>
    <w:rsid w:val="3EE7036C"/>
    <w:rsid w:val="3EEC29F5"/>
    <w:rsid w:val="3EF54BAC"/>
    <w:rsid w:val="3EF82F81"/>
    <w:rsid w:val="3EF97269"/>
    <w:rsid w:val="3EFC1F74"/>
    <w:rsid w:val="3EFC2F12"/>
    <w:rsid w:val="3F0019BE"/>
    <w:rsid w:val="3F067207"/>
    <w:rsid w:val="3F091EA1"/>
    <w:rsid w:val="3F0C2E83"/>
    <w:rsid w:val="3F0D1D34"/>
    <w:rsid w:val="3F0E06AC"/>
    <w:rsid w:val="3F105AA4"/>
    <w:rsid w:val="3F2819A1"/>
    <w:rsid w:val="3F283271"/>
    <w:rsid w:val="3F30597D"/>
    <w:rsid w:val="3F30761D"/>
    <w:rsid w:val="3F325C01"/>
    <w:rsid w:val="3F43671B"/>
    <w:rsid w:val="3F5020DE"/>
    <w:rsid w:val="3F543663"/>
    <w:rsid w:val="3F5B215A"/>
    <w:rsid w:val="3F6776DB"/>
    <w:rsid w:val="3F6A6BDE"/>
    <w:rsid w:val="3F7264F2"/>
    <w:rsid w:val="3F7878C0"/>
    <w:rsid w:val="3F8C4846"/>
    <w:rsid w:val="3F915B11"/>
    <w:rsid w:val="3F9B5A19"/>
    <w:rsid w:val="3F9C21FC"/>
    <w:rsid w:val="3FA972AC"/>
    <w:rsid w:val="3FAE02D0"/>
    <w:rsid w:val="3FAF0EE0"/>
    <w:rsid w:val="3FC721B5"/>
    <w:rsid w:val="3FCB3748"/>
    <w:rsid w:val="3FE94185"/>
    <w:rsid w:val="3FEC3E76"/>
    <w:rsid w:val="3FF9320D"/>
    <w:rsid w:val="400A4879"/>
    <w:rsid w:val="40176E04"/>
    <w:rsid w:val="401B5724"/>
    <w:rsid w:val="40301A23"/>
    <w:rsid w:val="40314073"/>
    <w:rsid w:val="40330CED"/>
    <w:rsid w:val="40346155"/>
    <w:rsid w:val="40396157"/>
    <w:rsid w:val="403F4755"/>
    <w:rsid w:val="40451468"/>
    <w:rsid w:val="4045413A"/>
    <w:rsid w:val="405104EB"/>
    <w:rsid w:val="405764B6"/>
    <w:rsid w:val="405D0B59"/>
    <w:rsid w:val="40633074"/>
    <w:rsid w:val="40700D78"/>
    <w:rsid w:val="40744D2E"/>
    <w:rsid w:val="40917680"/>
    <w:rsid w:val="40995E22"/>
    <w:rsid w:val="409D65E5"/>
    <w:rsid w:val="40A16753"/>
    <w:rsid w:val="40A577BD"/>
    <w:rsid w:val="40A84AD7"/>
    <w:rsid w:val="40A924E8"/>
    <w:rsid w:val="40AC69D1"/>
    <w:rsid w:val="40B02975"/>
    <w:rsid w:val="40B74E15"/>
    <w:rsid w:val="40CE6120"/>
    <w:rsid w:val="40D07CD0"/>
    <w:rsid w:val="40D87DEC"/>
    <w:rsid w:val="40DB4C11"/>
    <w:rsid w:val="40E37956"/>
    <w:rsid w:val="40E50831"/>
    <w:rsid w:val="40EE044B"/>
    <w:rsid w:val="40F80ABF"/>
    <w:rsid w:val="40FB317F"/>
    <w:rsid w:val="4102118A"/>
    <w:rsid w:val="41093653"/>
    <w:rsid w:val="410C4FB1"/>
    <w:rsid w:val="410D60D4"/>
    <w:rsid w:val="411572E6"/>
    <w:rsid w:val="41371D36"/>
    <w:rsid w:val="41387C72"/>
    <w:rsid w:val="415002C5"/>
    <w:rsid w:val="41504FC5"/>
    <w:rsid w:val="415601EB"/>
    <w:rsid w:val="4164413F"/>
    <w:rsid w:val="41667240"/>
    <w:rsid w:val="416E69EF"/>
    <w:rsid w:val="4178187A"/>
    <w:rsid w:val="418568C9"/>
    <w:rsid w:val="419C040C"/>
    <w:rsid w:val="419C311F"/>
    <w:rsid w:val="419C4E77"/>
    <w:rsid w:val="419E3A80"/>
    <w:rsid w:val="41B10C06"/>
    <w:rsid w:val="41BB0D38"/>
    <w:rsid w:val="41C5174C"/>
    <w:rsid w:val="41CC2CDA"/>
    <w:rsid w:val="41D079E7"/>
    <w:rsid w:val="41D23441"/>
    <w:rsid w:val="41D2460A"/>
    <w:rsid w:val="41E0025A"/>
    <w:rsid w:val="41E74575"/>
    <w:rsid w:val="41EE4162"/>
    <w:rsid w:val="42143EC5"/>
    <w:rsid w:val="421D6234"/>
    <w:rsid w:val="4221404C"/>
    <w:rsid w:val="4222622E"/>
    <w:rsid w:val="422420A4"/>
    <w:rsid w:val="422545AD"/>
    <w:rsid w:val="4227340F"/>
    <w:rsid w:val="422C2E8B"/>
    <w:rsid w:val="422D53C3"/>
    <w:rsid w:val="422D59DD"/>
    <w:rsid w:val="4234024B"/>
    <w:rsid w:val="424F5796"/>
    <w:rsid w:val="42541B36"/>
    <w:rsid w:val="42803F7F"/>
    <w:rsid w:val="42824FD7"/>
    <w:rsid w:val="42837137"/>
    <w:rsid w:val="42AA4173"/>
    <w:rsid w:val="42AB4F5C"/>
    <w:rsid w:val="42AD4D0C"/>
    <w:rsid w:val="42AF051D"/>
    <w:rsid w:val="42AF43C6"/>
    <w:rsid w:val="42B430CE"/>
    <w:rsid w:val="42BB3633"/>
    <w:rsid w:val="42C94AF7"/>
    <w:rsid w:val="42CA5F99"/>
    <w:rsid w:val="42CB5D11"/>
    <w:rsid w:val="42CD630F"/>
    <w:rsid w:val="42CE5BDF"/>
    <w:rsid w:val="42DD466D"/>
    <w:rsid w:val="42E43294"/>
    <w:rsid w:val="42FB20F8"/>
    <w:rsid w:val="42FE5DD8"/>
    <w:rsid w:val="430036DB"/>
    <w:rsid w:val="4313533D"/>
    <w:rsid w:val="43185528"/>
    <w:rsid w:val="4319681D"/>
    <w:rsid w:val="431C78A1"/>
    <w:rsid w:val="431D36C9"/>
    <w:rsid w:val="431E1A0A"/>
    <w:rsid w:val="431E4D05"/>
    <w:rsid w:val="4322395D"/>
    <w:rsid w:val="432F4D86"/>
    <w:rsid w:val="433064B2"/>
    <w:rsid w:val="433C0FA1"/>
    <w:rsid w:val="43434938"/>
    <w:rsid w:val="435169D4"/>
    <w:rsid w:val="43583A50"/>
    <w:rsid w:val="435B19AC"/>
    <w:rsid w:val="4362169F"/>
    <w:rsid w:val="43664CDB"/>
    <w:rsid w:val="43672983"/>
    <w:rsid w:val="436A15A1"/>
    <w:rsid w:val="437A6101"/>
    <w:rsid w:val="43853A66"/>
    <w:rsid w:val="438A6E21"/>
    <w:rsid w:val="4390180C"/>
    <w:rsid w:val="43956F96"/>
    <w:rsid w:val="4396542E"/>
    <w:rsid w:val="43965872"/>
    <w:rsid w:val="43983C58"/>
    <w:rsid w:val="439B15B6"/>
    <w:rsid w:val="43A567E2"/>
    <w:rsid w:val="43AD3F84"/>
    <w:rsid w:val="43C82993"/>
    <w:rsid w:val="43CC7059"/>
    <w:rsid w:val="43CE748D"/>
    <w:rsid w:val="43D47E8F"/>
    <w:rsid w:val="43E223BF"/>
    <w:rsid w:val="43E75C8A"/>
    <w:rsid w:val="43E92774"/>
    <w:rsid w:val="43EA5BC5"/>
    <w:rsid w:val="43ED2B74"/>
    <w:rsid w:val="43EE163B"/>
    <w:rsid w:val="43EE5418"/>
    <w:rsid w:val="43F35472"/>
    <w:rsid w:val="43FE37BC"/>
    <w:rsid w:val="44001FD6"/>
    <w:rsid w:val="440472ED"/>
    <w:rsid w:val="44257631"/>
    <w:rsid w:val="443C6039"/>
    <w:rsid w:val="443D5DEC"/>
    <w:rsid w:val="4440270C"/>
    <w:rsid w:val="44494C50"/>
    <w:rsid w:val="44563500"/>
    <w:rsid w:val="445636E6"/>
    <w:rsid w:val="445947F2"/>
    <w:rsid w:val="445A35F5"/>
    <w:rsid w:val="447F70DB"/>
    <w:rsid w:val="44874034"/>
    <w:rsid w:val="44905D39"/>
    <w:rsid w:val="44982BE4"/>
    <w:rsid w:val="449F0124"/>
    <w:rsid w:val="44A062DD"/>
    <w:rsid w:val="44A75F61"/>
    <w:rsid w:val="44A83A29"/>
    <w:rsid w:val="44C349A2"/>
    <w:rsid w:val="44C87563"/>
    <w:rsid w:val="44CF2AE3"/>
    <w:rsid w:val="44D32E37"/>
    <w:rsid w:val="44D72B56"/>
    <w:rsid w:val="44D74973"/>
    <w:rsid w:val="44E105CA"/>
    <w:rsid w:val="44E65B25"/>
    <w:rsid w:val="44ED76C6"/>
    <w:rsid w:val="44F06C0F"/>
    <w:rsid w:val="44F21FF0"/>
    <w:rsid w:val="44F94F2A"/>
    <w:rsid w:val="44FF2F6D"/>
    <w:rsid w:val="45077D66"/>
    <w:rsid w:val="4510134A"/>
    <w:rsid w:val="451A30A5"/>
    <w:rsid w:val="452469E0"/>
    <w:rsid w:val="4533418E"/>
    <w:rsid w:val="45343639"/>
    <w:rsid w:val="453A0051"/>
    <w:rsid w:val="453D0318"/>
    <w:rsid w:val="4542174B"/>
    <w:rsid w:val="4545679C"/>
    <w:rsid w:val="45465306"/>
    <w:rsid w:val="455007AD"/>
    <w:rsid w:val="45584A80"/>
    <w:rsid w:val="455E2C29"/>
    <w:rsid w:val="45637A66"/>
    <w:rsid w:val="45677130"/>
    <w:rsid w:val="457D0134"/>
    <w:rsid w:val="45826154"/>
    <w:rsid w:val="458457CA"/>
    <w:rsid w:val="458644EC"/>
    <w:rsid w:val="45A10F6F"/>
    <w:rsid w:val="45A13D23"/>
    <w:rsid w:val="45A20D54"/>
    <w:rsid w:val="45A464C1"/>
    <w:rsid w:val="45AE5E23"/>
    <w:rsid w:val="45B00982"/>
    <w:rsid w:val="45B65076"/>
    <w:rsid w:val="45BD70FA"/>
    <w:rsid w:val="45CC0C5D"/>
    <w:rsid w:val="45D13557"/>
    <w:rsid w:val="45D23E15"/>
    <w:rsid w:val="45D604D6"/>
    <w:rsid w:val="45DB1BD8"/>
    <w:rsid w:val="45DE20EE"/>
    <w:rsid w:val="45E4559E"/>
    <w:rsid w:val="45F27E02"/>
    <w:rsid w:val="45F27F81"/>
    <w:rsid w:val="45FC573C"/>
    <w:rsid w:val="45FC5A31"/>
    <w:rsid w:val="45FD60A4"/>
    <w:rsid w:val="461129F5"/>
    <w:rsid w:val="46154F47"/>
    <w:rsid w:val="46192877"/>
    <w:rsid w:val="46245014"/>
    <w:rsid w:val="46253BFB"/>
    <w:rsid w:val="46363721"/>
    <w:rsid w:val="46457DCB"/>
    <w:rsid w:val="464D239F"/>
    <w:rsid w:val="464E5321"/>
    <w:rsid w:val="465052CE"/>
    <w:rsid w:val="46563395"/>
    <w:rsid w:val="465A7B29"/>
    <w:rsid w:val="465D4A9B"/>
    <w:rsid w:val="46655EC2"/>
    <w:rsid w:val="46693223"/>
    <w:rsid w:val="466A3751"/>
    <w:rsid w:val="466A4F86"/>
    <w:rsid w:val="467D3F12"/>
    <w:rsid w:val="46852F2D"/>
    <w:rsid w:val="46852FDF"/>
    <w:rsid w:val="468603A4"/>
    <w:rsid w:val="468B2A43"/>
    <w:rsid w:val="469A1316"/>
    <w:rsid w:val="46A24B23"/>
    <w:rsid w:val="46B06A7E"/>
    <w:rsid w:val="46B23FF1"/>
    <w:rsid w:val="46B578C2"/>
    <w:rsid w:val="46BC2FC8"/>
    <w:rsid w:val="46BD3794"/>
    <w:rsid w:val="46BF3A54"/>
    <w:rsid w:val="46C16328"/>
    <w:rsid w:val="46D14F4D"/>
    <w:rsid w:val="46D44D47"/>
    <w:rsid w:val="46DB40FF"/>
    <w:rsid w:val="46DE1AF8"/>
    <w:rsid w:val="46E04422"/>
    <w:rsid w:val="46E37CFB"/>
    <w:rsid w:val="46E5408F"/>
    <w:rsid w:val="46E93A27"/>
    <w:rsid w:val="46EA006B"/>
    <w:rsid w:val="46F469EF"/>
    <w:rsid w:val="46F82611"/>
    <w:rsid w:val="46F87827"/>
    <w:rsid w:val="46FE17A9"/>
    <w:rsid w:val="47096720"/>
    <w:rsid w:val="47107316"/>
    <w:rsid w:val="47217EF0"/>
    <w:rsid w:val="472A4562"/>
    <w:rsid w:val="472D3C20"/>
    <w:rsid w:val="4730582F"/>
    <w:rsid w:val="47315486"/>
    <w:rsid w:val="473177F9"/>
    <w:rsid w:val="4734158A"/>
    <w:rsid w:val="47354DD0"/>
    <w:rsid w:val="47443707"/>
    <w:rsid w:val="47452B2C"/>
    <w:rsid w:val="47482E6D"/>
    <w:rsid w:val="4748755C"/>
    <w:rsid w:val="474C1707"/>
    <w:rsid w:val="474D048B"/>
    <w:rsid w:val="47523625"/>
    <w:rsid w:val="47524A3D"/>
    <w:rsid w:val="476543C8"/>
    <w:rsid w:val="47663683"/>
    <w:rsid w:val="47677197"/>
    <w:rsid w:val="477638EF"/>
    <w:rsid w:val="477F6F68"/>
    <w:rsid w:val="478C79E5"/>
    <w:rsid w:val="47900FEF"/>
    <w:rsid w:val="47930E3F"/>
    <w:rsid w:val="47954EFF"/>
    <w:rsid w:val="47A65ED5"/>
    <w:rsid w:val="47A93E8B"/>
    <w:rsid w:val="47BC7A84"/>
    <w:rsid w:val="47D30E5E"/>
    <w:rsid w:val="47D80ED4"/>
    <w:rsid w:val="47E65D5E"/>
    <w:rsid w:val="47EA655F"/>
    <w:rsid w:val="47F471A7"/>
    <w:rsid w:val="47F73FAF"/>
    <w:rsid w:val="47FE22FD"/>
    <w:rsid w:val="4805419F"/>
    <w:rsid w:val="480D23E6"/>
    <w:rsid w:val="480D5FC6"/>
    <w:rsid w:val="48195B0F"/>
    <w:rsid w:val="481B0FEE"/>
    <w:rsid w:val="481E07CE"/>
    <w:rsid w:val="4828767A"/>
    <w:rsid w:val="48293DB2"/>
    <w:rsid w:val="48303EBA"/>
    <w:rsid w:val="48312B74"/>
    <w:rsid w:val="48387044"/>
    <w:rsid w:val="484816F1"/>
    <w:rsid w:val="48493460"/>
    <w:rsid w:val="484F2B44"/>
    <w:rsid w:val="485979F1"/>
    <w:rsid w:val="48654112"/>
    <w:rsid w:val="4869799A"/>
    <w:rsid w:val="487C0CA5"/>
    <w:rsid w:val="48882B5D"/>
    <w:rsid w:val="48886CBD"/>
    <w:rsid w:val="488A51C7"/>
    <w:rsid w:val="48947AE1"/>
    <w:rsid w:val="489D2292"/>
    <w:rsid w:val="48A84430"/>
    <w:rsid w:val="48BF4E30"/>
    <w:rsid w:val="48CC4712"/>
    <w:rsid w:val="48D52766"/>
    <w:rsid w:val="48DC3269"/>
    <w:rsid w:val="48EF2938"/>
    <w:rsid w:val="48F61B46"/>
    <w:rsid w:val="48FC5123"/>
    <w:rsid w:val="49023961"/>
    <w:rsid w:val="490C5E8D"/>
    <w:rsid w:val="49274983"/>
    <w:rsid w:val="492D6105"/>
    <w:rsid w:val="49315B97"/>
    <w:rsid w:val="493A64F9"/>
    <w:rsid w:val="494062A0"/>
    <w:rsid w:val="49520C15"/>
    <w:rsid w:val="49541B3A"/>
    <w:rsid w:val="4969347B"/>
    <w:rsid w:val="496D0F3E"/>
    <w:rsid w:val="49765FDE"/>
    <w:rsid w:val="497910E1"/>
    <w:rsid w:val="49991440"/>
    <w:rsid w:val="49A000E7"/>
    <w:rsid w:val="49A137D9"/>
    <w:rsid w:val="49B272C3"/>
    <w:rsid w:val="49B465D1"/>
    <w:rsid w:val="49C02AA5"/>
    <w:rsid w:val="49C47704"/>
    <w:rsid w:val="49CF0882"/>
    <w:rsid w:val="49E14E47"/>
    <w:rsid w:val="49E76886"/>
    <w:rsid w:val="49E92E32"/>
    <w:rsid w:val="49E93B30"/>
    <w:rsid w:val="49EF0508"/>
    <w:rsid w:val="49F33009"/>
    <w:rsid w:val="49F96503"/>
    <w:rsid w:val="4A030A68"/>
    <w:rsid w:val="4A0503F8"/>
    <w:rsid w:val="4A0A5F4C"/>
    <w:rsid w:val="4A213BFE"/>
    <w:rsid w:val="4A235F74"/>
    <w:rsid w:val="4A260341"/>
    <w:rsid w:val="4A310769"/>
    <w:rsid w:val="4A332538"/>
    <w:rsid w:val="4A3701E0"/>
    <w:rsid w:val="4A47627D"/>
    <w:rsid w:val="4A5C380A"/>
    <w:rsid w:val="4A5C5569"/>
    <w:rsid w:val="4A5E52A5"/>
    <w:rsid w:val="4A6F173B"/>
    <w:rsid w:val="4A702F4A"/>
    <w:rsid w:val="4A7047E7"/>
    <w:rsid w:val="4A740FA0"/>
    <w:rsid w:val="4A7823C7"/>
    <w:rsid w:val="4A7A0A7F"/>
    <w:rsid w:val="4A7B3A46"/>
    <w:rsid w:val="4A883C2C"/>
    <w:rsid w:val="4A886BBE"/>
    <w:rsid w:val="4AA50D59"/>
    <w:rsid w:val="4AA57E05"/>
    <w:rsid w:val="4AAC0CA0"/>
    <w:rsid w:val="4AAE4530"/>
    <w:rsid w:val="4AB01188"/>
    <w:rsid w:val="4AB07493"/>
    <w:rsid w:val="4AB10DA0"/>
    <w:rsid w:val="4AB6069A"/>
    <w:rsid w:val="4ABA0954"/>
    <w:rsid w:val="4ABA3856"/>
    <w:rsid w:val="4AC25B4E"/>
    <w:rsid w:val="4AD60720"/>
    <w:rsid w:val="4AD96013"/>
    <w:rsid w:val="4ADA0FAD"/>
    <w:rsid w:val="4ADD6A4C"/>
    <w:rsid w:val="4AE8565C"/>
    <w:rsid w:val="4AEE64E8"/>
    <w:rsid w:val="4AEF0CF2"/>
    <w:rsid w:val="4AEF465F"/>
    <w:rsid w:val="4AF02A54"/>
    <w:rsid w:val="4AFA45B1"/>
    <w:rsid w:val="4AFC3F56"/>
    <w:rsid w:val="4AFD22D3"/>
    <w:rsid w:val="4B064A8A"/>
    <w:rsid w:val="4B083AB0"/>
    <w:rsid w:val="4B1D0242"/>
    <w:rsid w:val="4B1E2AE8"/>
    <w:rsid w:val="4B2A4407"/>
    <w:rsid w:val="4B3069DA"/>
    <w:rsid w:val="4B3341BD"/>
    <w:rsid w:val="4B367226"/>
    <w:rsid w:val="4B393B20"/>
    <w:rsid w:val="4B431135"/>
    <w:rsid w:val="4B440BEE"/>
    <w:rsid w:val="4B4569B5"/>
    <w:rsid w:val="4B472261"/>
    <w:rsid w:val="4B557CD1"/>
    <w:rsid w:val="4B614DC0"/>
    <w:rsid w:val="4B63310F"/>
    <w:rsid w:val="4B6B3F8A"/>
    <w:rsid w:val="4B6C20FF"/>
    <w:rsid w:val="4B6F273D"/>
    <w:rsid w:val="4B716178"/>
    <w:rsid w:val="4B891653"/>
    <w:rsid w:val="4B9306EC"/>
    <w:rsid w:val="4B972C7F"/>
    <w:rsid w:val="4B9D346C"/>
    <w:rsid w:val="4BA330DE"/>
    <w:rsid w:val="4BB00AA6"/>
    <w:rsid w:val="4BC61CF1"/>
    <w:rsid w:val="4BC72796"/>
    <w:rsid w:val="4BD03B5D"/>
    <w:rsid w:val="4BD36BAC"/>
    <w:rsid w:val="4BD51BF8"/>
    <w:rsid w:val="4BD70C13"/>
    <w:rsid w:val="4BD80D74"/>
    <w:rsid w:val="4BE54F0C"/>
    <w:rsid w:val="4BE55F5B"/>
    <w:rsid w:val="4C0477E4"/>
    <w:rsid w:val="4C1143CF"/>
    <w:rsid w:val="4C1B17FC"/>
    <w:rsid w:val="4C1E292E"/>
    <w:rsid w:val="4C34073F"/>
    <w:rsid w:val="4C3F15A7"/>
    <w:rsid w:val="4C4E3356"/>
    <w:rsid w:val="4C597A59"/>
    <w:rsid w:val="4C5A2804"/>
    <w:rsid w:val="4C5A3A04"/>
    <w:rsid w:val="4C5B5836"/>
    <w:rsid w:val="4C6A701D"/>
    <w:rsid w:val="4C724E67"/>
    <w:rsid w:val="4C747C14"/>
    <w:rsid w:val="4C785086"/>
    <w:rsid w:val="4C7B2868"/>
    <w:rsid w:val="4C802C68"/>
    <w:rsid w:val="4C862133"/>
    <w:rsid w:val="4CA07951"/>
    <w:rsid w:val="4CA65ED3"/>
    <w:rsid w:val="4CA75450"/>
    <w:rsid w:val="4CAC153E"/>
    <w:rsid w:val="4CAD2A65"/>
    <w:rsid w:val="4CCC5F7A"/>
    <w:rsid w:val="4CD05015"/>
    <w:rsid w:val="4CD63AF3"/>
    <w:rsid w:val="4CE10D7A"/>
    <w:rsid w:val="4CEA614C"/>
    <w:rsid w:val="4CEC3947"/>
    <w:rsid w:val="4CF0095E"/>
    <w:rsid w:val="4CF10E53"/>
    <w:rsid w:val="4CF70FFC"/>
    <w:rsid w:val="4D016A88"/>
    <w:rsid w:val="4D072DCC"/>
    <w:rsid w:val="4D090FF9"/>
    <w:rsid w:val="4D097B6C"/>
    <w:rsid w:val="4D0D0539"/>
    <w:rsid w:val="4D0D1C13"/>
    <w:rsid w:val="4D0F5522"/>
    <w:rsid w:val="4D103259"/>
    <w:rsid w:val="4D10428E"/>
    <w:rsid w:val="4D14123C"/>
    <w:rsid w:val="4D15246A"/>
    <w:rsid w:val="4D192640"/>
    <w:rsid w:val="4D365F8A"/>
    <w:rsid w:val="4D541D12"/>
    <w:rsid w:val="4D566DAC"/>
    <w:rsid w:val="4D590D7B"/>
    <w:rsid w:val="4D67367B"/>
    <w:rsid w:val="4D692EA0"/>
    <w:rsid w:val="4D77383E"/>
    <w:rsid w:val="4D7E2C5D"/>
    <w:rsid w:val="4D7E2E5D"/>
    <w:rsid w:val="4D8B039E"/>
    <w:rsid w:val="4D8C47A4"/>
    <w:rsid w:val="4D9B0F80"/>
    <w:rsid w:val="4D9D543F"/>
    <w:rsid w:val="4D9E17EF"/>
    <w:rsid w:val="4DA85476"/>
    <w:rsid w:val="4DB1689D"/>
    <w:rsid w:val="4DB33FB4"/>
    <w:rsid w:val="4DBE7ED2"/>
    <w:rsid w:val="4DC12FB5"/>
    <w:rsid w:val="4DCE3FDB"/>
    <w:rsid w:val="4DD66968"/>
    <w:rsid w:val="4DDE3E45"/>
    <w:rsid w:val="4DE531BE"/>
    <w:rsid w:val="4DF80001"/>
    <w:rsid w:val="4DFC3550"/>
    <w:rsid w:val="4E0C0A64"/>
    <w:rsid w:val="4E1E2553"/>
    <w:rsid w:val="4E231512"/>
    <w:rsid w:val="4E33783A"/>
    <w:rsid w:val="4E4407A8"/>
    <w:rsid w:val="4E4576FD"/>
    <w:rsid w:val="4E481977"/>
    <w:rsid w:val="4E593698"/>
    <w:rsid w:val="4E705F5C"/>
    <w:rsid w:val="4E8334AB"/>
    <w:rsid w:val="4E8549E6"/>
    <w:rsid w:val="4E856A79"/>
    <w:rsid w:val="4E8A2578"/>
    <w:rsid w:val="4E9054CE"/>
    <w:rsid w:val="4E9107F3"/>
    <w:rsid w:val="4EA24397"/>
    <w:rsid w:val="4EA429A3"/>
    <w:rsid w:val="4EB07961"/>
    <w:rsid w:val="4EB870EE"/>
    <w:rsid w:val="4EBA1EDD"/>
    <w:rsid w:val="4EBC7A2F"/>
    <w:rsid w:val="4EC34B28"/>
    <w:rsid w:val="4EE27FD7"/>
    <w:rsid w:val="4EEB04F8"/>
    <w:rsid w:val="4EEC0F0F"/>
    <w:rsid w:val="4EF72968"/>
    <w:rsid w:val="4EF95CF1"/>
    <w:rsid w:val="4F070565"/>
    <w:rsid w:val="4F1318D4"/>
    <w:rsid w:val="4F1C22EC"/>
    <w:rsid w:val="4F210173"/>
    <w:rsid w:val="4F284DA3"/>
    <w:rsid w:val="4F3726EF"/>
    <w:rsid w:val="4F3D7C37"/>
    <w:rsid w:val="4F445602"/>
    <w:rsid w:val="4F4F4C75"/>
    <w:rsid w:val="4F525E96"/>
    <w:rsid w:val="4F530187"/>
    <w:rsid w:val="4F6A18F8"/>
    <w:rsid w:val="4F821856"/>
    <w:rsid w:val="4F8459D5"/>
    <w:rsid w:val="4F8966E7"/>
    <w:rsid w:val="4F8B453F"/>
    <w:rsid w:val="4F910424"/>
    <w:rsid w:val="4F9832D2"/>
    <w:rsid w:val="4F9A5100"/>
    <w:rsid w:val="4FA41361"/>
    <w:rsid w:val="4FA42D2F"/>
    <w:rsid w:val="4FBE648D"/>
    <w:rsid w:val="4FC5581E"/>
    <w:rsid w:val="4FC61027"/>
    <w:rsid w:val="4FD4377C"/>
    <w:rsid w:val="4FD633C3"/>
    <w:rsid w:val="4FDF4826"/>
    <w:rsid w:val="4FE01EEA"/>
    <w:rsid w:val="4FF45B4F"/>
    <w:rsid w:val="4FF72EF9"/>
    <w:rsid w:val="4FF82301"/>
    <w:rsid w:val="4FFA2F5E"/>
    <w:rsid w:val="5004172D"/>
    <w:rsid w:val="500B72B0"/>
    <w:rsid w:val="500C63F6"/>
    <w:rsid w:val="50162A96"/>
    <w:rsid w:val="502E359B"/>
    <w:rsid w:val="50305735"/>
    <w:rsid w:val="503521E3"/>
    <w:rsid w:val="50446F5A"/>
    <w:rsid w:val="50463765"/>
    <w:rsid w:val="504B0856"/>
    <w:rsid w:val="50593A5D"/>
    <w:rsid w:val="50631EA9"/>
    <w:rsid w:val="50663D6C"/>
    <w:rsid w:val="506A6DB7"/>
    <w:rsid w:val="50700F1E"/>
    <w:rsid w:val="508011A7"/>
    <w:rsid w:val="50913C46"/>
    <w:rsid w:val="50914D5F"/>
    <w:rsid w:val="50936F6E"/>
    <w:rsid w:val="50A25D9A"/>
    <w:rsid w:val="50B051A4"/>
    <w:rsid w:val="50B935ED"/>
    <w:rsid w:val="50CD0B4C"/>
    <w:rsid w:val="50D10FBA"/>
    <w:rsid w:val="50D1367C"/>
    <w:rsid w:val="50D334AF"/>
    <w:rsid w:val="50D36141"/>
    <w:rsid w:val="50D9761F"/>
    <w:rsid w:val="50DB2F16"/>
    <w:rsid w:val="50DC7B7E"/>
    <w:rsid w:val="50FF373B"/>
    <w:rsid w:val="51080EA1"/>
    <w:rsid w:val="510A749C"/>
    <w:rsid w:val="510B2C10"/>
    <w:rsid w:val="512C47A9"/>
    <w:rsid w:val="51363321"/>
    <w:rsid w:val="513B0754"/>
    <w:rsid w:val="514168FB"/>
    <w:rsid w:val="51484969"/>
    <w:rsid w:val="51494FB6"/>
    <w:rsid w:val="514D64E1"/>
    <w:rsid w:val="516767A6"/>
    <w:rsid w:val="516A4A60"/>
    <w:rsid w:val="51753D1D"/>
    <w:rsid w:val="51777D74"/>
    <w:rsid w:val="517E3ADF"/>
    <w:rsid w:val="51835A46"/>
    <w:rsid w:val="5184413B"/>
    <w:rsid w:val="518974B9"/>
    <w:rsid w:val="519E2080"/>
    <w:rsid w:val="51B33335"/>
    <w:rsid w:val="51B57763"/>
    <w:rsid w:val="51B65AB5"/>
    <w:rsid w:val="51BE3193"/>
    <w:rsid w:val="51C33D45"/>
    <w:rsid w:val="51C524FD"/>
    <w:rsid w:val="51CF609F"/>
    <w:rsid w:val="51D22D96"/>
    <w:rsid w:val="51D47E7D"/>
    <w:rsid w:val="51D852F8"/>
    <w:rsid w:val="51EE20A2"/>
    <w:rsid w:val="51EF5A14"/>
    <w:rsid w:val="51F53C34"/>
    <w:rsid w:val="52111817"/>
    <w:rsid w:val="521D68CA"/>
    <w:rsid w:val="521F3175"/>
    <w:rsid w:val="52402218"/>
    <w:rsid w:val="5241773F"/>
    <w:rsid w:val="52464867"/>
    <w:rsid w:val="52467EB6"/>
    <w:rsid w:val="525A0C2D"/>
    <w:rsid w:val="525B3948"/>
    <w:rsid w:val="525E7C80"/>
    <w:rsid w:val="52664079"/>
    <w:rsid w:val="526829F3"/>
    <w:rsid w:val="526C2890"/>
    <w:rsid w:val="526C75FE"/>
    <w:rsid w:val="52700FFF"/>
    <w:rsid w:val="52710987"/>
    <w:rsid w:val="52790CE0"/>
    <w:rsid w:val="527B1A24"/>
    <w:rsid w:val="52827D9E"/>
    <w:rsid w:val="528A57B4"/>
    <w:rsid w:val="52A30234"/>
    <w:rsid w:val="52BE2095"/>
    <w:rsid w:val="52CF7512"/>
    <w:rsid w:val="52DA47CE"/>
    <w:rsid w:val="52DD2DB2"/>
    <w:rsid w:val="52E02181"/>
    <w:rsid w:val="52E60428"/>
    <w:rsid w:val="52F21EED"/>
    <w:rsid w:val="52F31014"/>
    <w:rsid w:val="52F512E8"/>
    <w:rsid w:val="52F53011"/>
    <w:rsid w:val="52FC5EC1"/>
    <w:rsid w:val="52FE26F5"/>
    <w:rsid w:val="530049EA"/>
    <w:rsid w:val="53014185"/>
    <w:rsid w:val="53136DC0"/>
    <w:rsid w:val="53155CC7"/>
    <w:rsid w:val="5316518F"/>
    <w:rsid w:val="53171271"/>
    <w:rsid w:val="53171871"/>
    <w:rsid w:val="531805A8"/>
    <w:rsid w:val="53197336"/>
    <w:rsid w:val="531A310D"/>
    <w:rsid w:val="531C7273"/>
    <w:rsid w:val="53305CD1"/>
    <w:rsid w:val="534019E5"/>
    <w:rsid w:val="53444096"/>
    <w:rsid w:val="53446BE8"/>
    <w:rsid w:val="53483174"/>
    <w:rsid w:val="534D7880"/>
    <w:rsid w:val="53525C6B"/>
    <w:rsid w:val="53560919"/>
    <w:rsid w:val="53563914"/>
    <w:rsid w:val="53591ED8"/>
    <w:rsid w:val="536052E6"/>
    <w:rsid w:val="53656812"/>
    <w:rsid w:val="53674C9B"/>
    <w:rsid w:val="53676915"/>
    <w:rsid w:val="537F3BD7"/>
    <w:rsid w:val="53921CE6"/>
    <w:rsid w:val="53971416"/>
    <w:rsid w:val="539772C6"/>
    <w:rsid w:val="539F2495"/>
    <w:rsid w:val="53B010A1"/>
    <w:rsid w:val="53B82F38"/>
    <w:rsid w:val="53B83956"/>
    <w:rsid w:val="53BF3947"/>
    <w:rsid w:val="53BF6305"/>
    <w:rsid w:val="53C159E6"/>
    <w:rsid w:val="53CB685D"/>
    <w:rsid w:val="53D40532"/>
    <w:rsid w:val="53D63AFB"/>
    <w:rsid w:val="53DB3EF6"/>
    <w:rsid w:val="53DD1933"/>
    <w:rsid w:val="53E00908"/>
    <w:rsid w:val="53E87A40"/>
    <w:rsid w:val="53EE0458"/>
    <w:rsid w:val="53F4709E"/>
    <w:rsid w:val="540324B3"/>
    <w:rsid w:val="5405568E"/>
    <w:rsid w:val="540A0FFC"/>
    <w:rsid w:val="540E5E81"/>
    <w:rsid w:val="541252D6"/>
    <w:rsid w:val="54195E62"/>
    <w:rsid w:val="541B7634"/>
    <w:rsid w:val="54203E59"/>
    <w:rsid w:val="542415E9"/>
    <w:rsid w:val="54251A23"/>
    <w:rsid w:val="542D3DA1"/>
    <w:rsid w:val="542E7411"/>
    <w:rsid w:val="544B2184"/>
    <w:rsid w:val="544C39A6"/>
    <w:rsid w:val="54514492"/>
    <w:rsid w:val="54565166"/>
    <w:rsid w:val="54595F5A"/>
    <w:rsid w:val="546213ED"/>
    <w:rsid w:val="54696C14"/>
    <w:rsid w:val="54883C58"/>
    <w:rsid w:val="54943823"/>
    <w:rsid w:val="54A27DBE"/>
    <w:rsid w:val="54B87F86"/>
    <w:rsid w:val="54BB52C7"/>
    <w:rsid w:val="54D5318F"/>
    <w:rsid w:val="54DD04CB"/>
    <w:rsid w:val="54E46530"/>
    <w:rsid w:val="54EC1F15"/>
    <w:rsid w:val="54F211C4"/>
    <w:rsid w:val="54F228B7"/>
    <w:rsid w:val="54F96860"/>
    <w:rsid w:val="550814AB"/>
    <w:rsid w:val="55106A70"/>
    <w:rsid w:val="551F6409"/>
    <w:rsid w:val="552B3160"/>
    <w:rsid w:val="552C35FC"/>
    <w:rsid w:val="552F30AC"/>
    <w:rsid w:val="5532126B"/>
    <w:rsid w:val="55322247"/>
    <w:rsid w:val="553958F7"/>
    <w:rsid w:val="553D039B"/>
    <w:rsid w:val="5542561D"/>
    <w:rsid w:val="554422D7"/>
    <w:rsid w:val="55596049"/>
    <w:rsid w:val="555C04A6"/>
    <w:rsid w:val="55746088"/>
    <w:rsid w:val="557E5B62"/>
    <w:rsid w:val="55875C57"/>
    <w:rsid w:val="558A0C37"/>
    <w:rsid w:val="558F5D5B"/>
    <w:rsid w:val="559F3765"/>
    <w:rsid w:val="55A451B4"/>
    <w:rsid w:val="55AD276C"/>
    <w:rsid w:val="55B93BD4"/>
    <w:rsid w:val="55B95319"/>
    <w:rsid w:val="55C11750"/>
    <w:rsid w:val="55C50ACC"/>
    <w:rsid w:val="55C70E9E"/>
    <w:rsid w:val="55D67B13"/>
    <w:rsid w:val="55DB135A"/>
    <w:rsid w:val="55E765D3"/>
    <w:rsid w:val="55E8019D"/>
    <w:rsid w:val="55EA06D0"/>
    <w:rsid w:val="55EA2B67"/>
    <w:rsid w:val="55EC37C0"/>
    <w:rsid w:val="55F0373B"/>
    <w:rsid w:val="55F56E54"/>
    <w:rsid w:val="55FB3D4A"/>
    <w:rsid w:val="56060916"/>
    <w:rsid w:val="560E1411"/>
    <w:rsid w:val="560F3532"/>
    <w:rsid w:val="56206DF6"/>
    <w:rsid w:val="5624787C"/>
    <w:rsid w:val="562A5AC2"/>
    <w:rsid w:val="563475ED"/>
    <w:rsid w:val="564528AA"/>
    <w:rsid w:val="56494E55"/>
    <w:rsid w:val="564A1208"/>
    <w:rsid w:val="564C6BA5"/>
    <w:rsid w:val="564E110F"/>
    <w:rsid w:val="5657244C"/>
    <w:rsid w:val="565B1762"/>
    <w:rsid w:val="565E2597"/>
    <w:rsid w:val="566C3314"/>
    <w:rsid w:val="566C545D"/>
    <w:rsid w:val="566E69CD"/>
    <w:rsid w:val="56722BA7"/>
    <w:rsid w:val="567A1780"/>
    <w:rsid w:val="56883FEE"/>
    <w:rsid w:val="568C422C"/>
    <w:rsid w:val="56A0004B"/>
    <w:rsid w:val="56A75ACE"/>
    <w:rsid w:val="56A82ABD"/>
    <w:rsid w:val="56AC7380"/>
    <w:rsid w:val="56AF528C"/>
    <w:rsid w:val="56B41EFB"/>
    <w:rsid w:val="56B55E2F"/>
    <w:rsid w:val="56B6374E"/>
    <w:rsid w:val="56BF5605"/>
    <w:rsid w:val="56CE7CDD"/>
    <w:rsid w:val="56D82C9C"/>
    <w:rsid w:val="56E86D31"/>
    <w:rsid w:val="56EA1CBC"/>
    <w:rsid w:val="56EB384D"/>
    <w:rsid w:val="56ED3D42"/>
    <w:rsid w:val="56F30DFB"/>
    <w:rsid w:val="56F85DA3"/>
    <w:rsid w:val="57052789"/>
    <w:rsid w:val="57053906"/>
    <w:rsid w:val="57091A66"/>
    <w:rsid w:val="570B147C"/>
    <w:rsid w:val="572551B6"/>
    <w:rsid w:val="57276B84"/>
    <w:rsid w:val="5729672E"/>
    <w:rsid w:val="572F40D4"/>
    <w:rsid w:val="57395A55"/>
    <w:rsid w:val="57476CD6"/>
    <w:rsid w:val="57494480"/>
    <w:rsid w:val="574B1B3B"/>
    <w:rsid w:val="574C67B7"/>
    <w:rsid w:val="575333FC"/>
    <w:rsid w:val="57541F26"/>
    <w:rsid w:val="575434A3"/>
    <w:rsid w:val="57557D87"/>
    <w:rsid w:val="575A5090"/>
    <w:rsid w:val="575D4169"/>
    <w:rsid w:val="57696BEB"/>
    <w:rsid w:val="57770B19"/>
    <w:rsid w:val="577A11AA"/>
    <w:rsid w:val="577A1356"/>
    <w:rsid w:val="577E231C"/>
    <w:rsid w:val="57824684"/>
    <w:rsid w:val="57831C8C"/>
    <w:rsid w:val="579A73A6"/>
    <w:rsid w:val="57AB7428"/>
    <w:rsid w:val="57AD5E30"/>
    <w:rsid w:val="57B009A3"/>
    <w:rsid w:val="57B2211D"/>
    <w:rsid w:val="57BC4B84"/>
    <w:rsid w:val="57BE7928"/>
    <w:rsid w:val="57C4732C"/>
    <w:rsid w:val="57C775A9"/>
    <w:rsid w:val="57C9603B"/>
    <w:rsid w:val="57C97277"/>
    <w:rsid w:val="57D842A7"/>
    <w:rsid w:val="57DE56F0"/>
    <w:rsid w:val="57E154B3"/>
    <w:rsid w:val="57E61ED8"/>
    <w:rsid w:val="57FD22B4"/>
    <w:rsid w:val="57FD7778"/>
    <w:rsid w:val="580167DE"/>
    <w:rsid w:val="58020375"/>
    <w:rsid w:val="58041D44"/>
    <w:rsid w:val="580617B0"/>
    <w:rsid w:val="580715F4"/>
    <w:rsid w:val="58085EBF"/>
    <w:rsid w:val="58170AC2"/>
    <w:rsid w:val="58204B75"/>
    <w:rsid w:val="5821572A"/>
    <w:rsid w:val="58230FB6"/>
    <w:rsid w:val="58302046"/>
    <w:rsid w:val="5831743B"/>
    <w:rsid w:val="583465B3"/>
    <w:rsid w:val="58383575"/>
    <w:rsid w:val="5847370E"/>
    <w:rsid w:val="584D4BCC"/>
    <w:rsid w:val="58541AD8"/>
    <w:rsid w:val="58614E4E"/>
    <w:rsid w:val="58660FEE"/>
    <w:rsid w:val="586D305F"/>
    <w:rsid w:val="58797D5C"/>
    <w:rsid w:val="587C67FA"/>
    <w:rsid w:val="587F6F30"/>
    <w:rsid w:val="58873C71"/>
    <w:rsid w:val="589111B1"/>
    <w:rsid w:val="58972FFD"/>
    <w:rsid w:val="58985642"/>
    <w:rsid w:val="58A90FF1"/>
    <w:rsid w:val="58B1149D"/>
    <w:rsid w:val="58B97400"/>
    <w:rsid w:val="58BD36B6"/>
    <w:rsid w:val="58C2713D"/>
    <w:rsid w:val="58C33EAC"/>
    <w:rsid w:val="58C50BD1"/>
    <w:rsid w:val="58D32A0E"/>
    <w:rsid w:val="58D8371C"/>
    <w:rsid w:val="58FF1A64"/>
    <w:rsid w:val="5905246F"/>
    <w:rsid w:val="59052ABB"/>
    <w:rsid w:val="59100572"/>
    <w:rsid w:val="5910749D"/>
    <w:rsid w:val="59136B0F"/>
    <w:rsid w:val="59265F7E"/>
    <w:rsid w:val="59554D63"/>
    <w:rsid w:val="5958173C"/>
    <w:rsid w:val="59594FC8"/>
    <w:rsid w:val="595A0CBC"/>
    <w:rsid w:val="5964247D"/>
    <w:rsid w:val="5967311D"/>
    <w:rsid w:val="596B4072"/>
    <w:rsid w:val="598F1E94"/>
    <w:rsid w:val="59A67BDD"/>
    <w:rsid w:val="59A7133C"/>
    <w:rsid w:val="59A90269"/>
    <w:rsid w:val="59A956D6"/>
    <w:rsid w:val="59BD682F"/>
    <w:rsid w:val="59BE4A21"/>
    <w:rsid w:val="59C14ED1"/>
    <w:rsid w:val="59C32A85"/>
    <w:rsid w:val="59DA1A3F"/>
    <w:rsid w:val="59DC49E3"/>
    <w:rsid w:val="59E337B8"/>
    <w:rsid w:val="59E90796"/>
    <w:rsid w:val="59EB5AF8"/>
    <w:rsid w:val="59EE001B"/>
    <w:rsid w:val="59F92488"/>
    <w:rsid w:val="5A146681"/>
    <w:rsid w:val="5A1C6FA5"/>
    <w:rsid w:val="5A2B3122"/>
    <w:rsid w:val="5A373CD2"/>
    <w:rsid w:val="5A3E3541"/>
    <w:rsid w:val="5A450939"/>
    <w:rsid w:val="5A4C0F56"/>
    <w:rsid w:val="5A4D46E6"/>
    <w:rsid w:val="5A4F531A"/>
    <w:rsid w:val="5A60704E"/>
    <w:rsid w:val="5A656605"/>
    <w:rsid w:val="5A677B07"/>
    <w:rsid w:val="5A6F7CEF"/>
    <w:rsid w:val="5A7401B0"/>
    <w:rsid w:val="5A7900BC"/>
    <w:rsid w:val="5A817E5A"/>
    <w:rsid w:val="5A832CB7"/>
    <w:rsid w:val="5A8B4504"/>
    <w:rsid w:val="5AA10743"/>
    <w:rsid w:val="5AA205AE"/>
    <w:rsid w:val="5AA451F6"/>
    <w:rsid w:val="5AA64716"/>
    <w:rsid w:val="5AAF7088"/>
    <w:rsid w:val="5AB07ADC"/>
    <w:rsid w:val="5ABA5FA5"/>
    <w:rsid w:val="5AC056E3"/>
    <w:rsid w:val="5AC56DFA"/>
    <w:rsid w:val="5AD717AB"/>
    <w:rsid w:val="5ADF4EB0"/>
    <w:rsid w:val="5AE5573C"/>
    <w:rsid w:val="5AE92087"/>
    <w:rsid w:val="5AE92FA5"/>
    <w:rsid w:val="5AF555EA"/>
    <w:rsid w:val="5B0B1E3F"/>
    <w:rsid w:val="5B1D5328"/>
    <w:rsid w:val="5B221504"/>
    <w:rsid w:val="5B2312D3"/>
    <w:rsid w:val="5B2C44C1"/>
    <w:rsid w:val="5B374351"/>
    <w:rsid w:val="5B3D555D"/>
    <w:rsid w:val="5B4A4957"/>
    <w:rsid w:val="5B515A3A"/>
    <w:rsid w:val="5B667FA5"/>
    <w:rsid w:val="5B7E302E"/>
    <w:rsid w:val="5B815651"/>
    <w:rsid w:val="5B896E76"/>
    <w:rsid w:val="5B8A5576"/>
    <w:rsid w:val="5B943C82"/>
    <w:rsid w:val="5B9D390D"/>
    <w:rsid w:val="5BA77F65"/>
    <w:rsid w:val="5BB14A36"/>
    <w:rsid w:val="5BBD0DAC"/>
    <w:rsid w:val="5BEA1DEA"/>
    <w:rsid w:val="5BEB6302"/>
    <w:rsid w:val="5BEC6CDE"/>
    <w:rsid w:val="5BED6D2B"/>
    <w:rsid w:val="5BF2159B"/>
    <w:rsid w:val="5C040C6D"/>
    <w:rsid w:val="5C072209"/>
    <w:rsid w:val="5C123787"/>
    <w:rsid w:val="5C1972EA"/>
    <w:rsid w:val="5C1B4F2F"/>
    <w:rsid w:val="5C242DCB"/>
    <w:rsid w:val="5C343B2D"/>
    <w:rsid w:val="5C377535"/>
    <w:rsid w:val="5C3A35A1"/>
    <w:rsid w:val="5C523131"/>
    <w:rsid w:val="5C525B90"/>
    <w:rsid w:val="5C550362"/>
    <w:rsid w:val="5C5D6388"/>
    <w:rsid w:val="5C623C87"/>
    <w:rsid w:val="5C684936"/>
    <w:rsid w:val="5C6E2B1D"/>
    <w:rsid w:val="5C6E3365"/>
    <w:rsid w:val="5C851A5F"/>
    <w:rsid w:val="5CB62C23"/>
    <w:rsid w:val="5CC2160A"/>
    <w:rsid w:val="5CC24316"/>
    <w:rsid w:val="5CC36AD1"/>
    <w:rsid w:val="5CCC180E"/>
    <w:rsid w:val="5CD355BB"/>
    <w:rsid w:val="5CD40D33"/>
    <w:rsid w:val="5CE0364E"/>
    <w:rsid w:val="5CE223F0"/>
    <w:rsid w:val="5CE80EA6"/>
    <w:rsid w:val="5CE926F2"/>
    <w:rsid w:val="5CEE5046"/>
    <w:rsid w:val="5CEF027A"/>
    <w:rsid w:val="5CF67BC7"/>
    <w:rsid w:val="5CFF1DBD"/>
    <w:rsid w:val="5D056292"/>
    <w:rsid w:val="5D1D2A1E"/>
    <w:rsid w:val="5D304DE9"/>
    <w:rsid w:val="5D35657E"/>
    <w:rsid w:val="5D465247"/>
    <w:rsid w:val="5D5F4D8F"/>
    <w:rsid w:val="5D69179F"/>
    <w:rsid w:val="5D6C70A4"/>
    <w:rsid w:val="5D6D37BC"/>
    <w:rsid w:val="5D6D5D8C"/>
    <w:rsid w:val="5D6F627A"/>
    <w:rsid w:val="5D7B268A"/>
    <w:rsid w:val="5D7E59CA"/>
    <w:rsid w:val="5D91701B"/>
    <w:rsid w:val="5D941DB2"/>
    <w:rsid w:val="5D96504C"/>
    <w:rsid w:val="5D984611"/>
    <w:rsid w:val="5D9F3FFF"/>
    <w:rsid w:val="5DB342BF"/>
    <w:rsid w:val="5DBD3CA5"/>
    <w:rsid w:val="5DBF6C56"/>
    <w:rsid w:val="5DBF77D6"/>
    <w:rsid w:val="5DC4303A"/>
    <w:rsid w:val="5DC476C9"/>
    <w:rsid w:val="5DE82F98"/>
    <w:rsid w:val="5DEB040A"/>
    <w:rsid w:val="5DED162B"/>
    <w:rsid w:val="5DEE0180"/>
    <w:rsid w:val="5DF34F65"/>
    <w:rsid w:val="5DF56CA1"/>
    <w:rsid w:val="5DFF7F12"/>
    <w:rsid w:val="5E0E082C"/>
    <w:rsid w:val="5E105B8A"/>
    <w:rsid w:val="5E161591"/>
    <w:rsid w:val="5E262473"/>
    <w:rsid w:val="5E2B1697"/>
    <w:rsid w:val="5E2C1AAA"/>
    <w:rsid w:val="5E3140B0"/>
    <w:rsid w:val="5E374E04"/>
    <w:rsid w:val="5E4818D5"/>
    <w:rsid w:val="5E505024"/>
    <w:rsid w:val="5E536C19"/>
    <w:rsid w:val="5E5C17BC"/>
    <w:rsid w:val="5E61017D"/>
    <w:rsid w:val="5E6D6839"/>
    <w:rsid w:val="5E77221F"/>
    <w:rsid w:val="5E9535FC"/>
    <w:rsid w:val="5EA81128"/>
    <w:rsid w:val="5EA96987"/>
    <w:rsid w:val="5EAB6958"/>
    <w:rsid w:val="5EAD2BF1"/>
    <w:rsid w:val="5EB165EB"/>
    <w:rsid w:val="5EC9679C"/>
    <w:rsid w:val="5ED12394"/>
    <w:rsid w:val="5ED724A7"/>
    <w:rsid w:val="5ED84B97"/>
    <w:rsid w:val="5EE152EB"/>
    <w:rsid w:val="5EE6531D"/>
    <w:rsid w:val="5F183621"/>
    <w:rsid w:val="5F1848F9"/>
    <w:rsid w:val="5F217C95"/>
    <w:rsid w:val="5F2A4879"/>
    <w:rsid w:val="5F4551F2"/>
    <w:rsid w:val="5F490292"/>
    <w:rsid w:val="5F575596"/>
    <w:rsid w:val="5F592689"/>
    <w:rsid w:val="5F5E5F77"/>
    <w:rsid w:val="5F621206"/>
    <w:rsid w:val="5F7443B3"/>
    <w:rsid w:val="5F7469C1"/>
    <w:rsid w:val="5F7B60C7"/>
    <w:rsid w:val="5F945464"/>
    <w:rsid w:val="5FA042E3"/>
    <w:rsid w:val="5FA1347C"/>
    <w:rsid w:val="5FA30E1E"/>
    <w:rsid w:val="5FB00CE7"/>
    <w:rsid w:val="5FC90D46"/>
    <w:rsid w:val="5FEA292A"/>
    <w:rsid w:val="5FEF2697"/>
    <w:rsid w:val="5FF8696E"/>
    <w:rsid w:val="5FF962B9"/>
    <w:rsid w:val="6003635E"/>
    <w:rsid w:val="600618B8"/>
    <w:rsid w:val="600A32A2"/>
    <w:rsid w:val="600D0EE0"/>
    <w:rsid w:val="600D3B84"/>
    <w:rsid w:val="601F6D9B"/>
    <w:rsid w:val="60257028"/>
    <w:rsid w:val="60287B1F"/>
    <w:rsid w:val="602A682A"/>
    <w:rsid w:val="603130F9"/>
    <w:rsid w:val="603B5EA3"/>
    <w:rsid w:val="60474347"/>
    <w:rsid w:val="605C5B54"/>
    <w:rsid w:val="605E50CB"/>
    <w:rsid w:val="6062074B"/>
    <w:rsid w:val="60633467"/>
    <w:rsid w:val="607728E7"/>
    <w:rsid w:val="607904AE"/>
    <w:rsid w:val="608222F5"/>
    <w:rsid w:val="608E311A"/>
    <w:rsid w:val="60920A74"/>
    <w:rsid w:val="60941530"/>
    <w:rsid w:val="60945A14"/>
    <w:rsid w:val="609B7788"/>
    <w:rsid w:val="609D33B7"/>
    <w:rsid w:val="609E1773"/>
    <w:rsid w:val="60A300B4"/>
    <w:rsid w:val="60BB2A94"/>
    <w:rsid w:val="60C47915"/>
    <w:rsid w:val="60CE116B"/>
    <w:rsid w:val="60DD4EFF"/>
    <w:rsid w:val="60E51894"/>
    <w:rsid w:val="60F763FB"/>
    <w:rsid w:val="60FD1DED"/>
    <w:rsid w:val="6103459B"/>
    <w:rsid w:val="610A2436"/>
    <w:rsid w:val="61103D08"/>
    <w:rsid w:val="61162B5F"/>
    <w:rsid w:val="61233CF6"/>
    <w:rsid w:val="61237AD8"/>
    <w:rsid w:val="6129666D"/>
    <w:rsid w:val="61377BAE"/>
    <w:rsid w:val="613D78A2"/>
    <w:rsid w:val="614125F8"/>
    <w:rsid w:val="61417079"/>
    <w:rsid w:val="61446A40"/>
    <w:rsid w:val="614B1EB4"/>
    <w:rsid w:val="61523D73"/>
    <w:rsid w:val="61597C8C"/>
    <w:rsid w:val="616E430F"/>
    <w:rsid w:val="61711B52"/>
    <w:rsid w:val="617B055C"/>
    <w:rsid w:val="617E5377"/>
    <w:rsid w:val="6186702E"/>
    <w:rsid w:val="618C0411"/>
    <w:rsid w:val="618C3957"/>
    <w:rsid w:val="61960ED9"/>
    <w:rsid w:val="61961213"/>
    <w:rsid w:val="619A700E"/>
    <w:rsid w:val="61A21CBA"/>
    <w:rsid w:val="61B55ACC"/>
    <w:rsid w:val="61C011FA"/>
    <w:rsid w:val="61C609A2"/>
    <w:rsid w:val="61CC7722"/>
    <w:rsid w:val="61D1350A"/>
    <w:rsid w:val="61D47EAB"/>
    <w:rsid w:val="61D85726"/>
    <w:rsid w:val="61D91DD1"/>
    <w:rsid w:val="61DE3408"/>
    <w:rsid w:val="61E10524"/>
    <w:rsid w:val="61FE7039"/>
    <w:rsid w:val="6206087B"/>
    <w:rsid w:val="62075BA0"/>
    <w:rsid w:val="620B49D1"/>
    <w:rsid w:val="621072B5"/>
    <w:rsid w:val="621B1491"/>
    <w:rsid w:val="62211CBE"/>
    <w:rsid w:val="62221AF7"/>
    <w:rsid w:val="62265898"/>
    <w:rsid w:val="62292EB8"/>
    <w:rsid w:val="622A7574"/>
    <w:rsid w:val="622F70D1"/>
    <w:rsid w:val="62335E28"/>
    <w:rsid w:val="62357241"/>
    <w:rsid w:val="623B6CDE"/>
    <w:rsid w:val="62405BBA"/>
    <w:rsid w:val="624E27C4"/>
    <w:rsid w:val="62531544"/>
    <w:rsid w:val="62535C56"/>
    <w:rsid w:val="6256282E"/>
    <w:rsid w:val="62564143"/>
    <w:rsid w:val="62620044"/>
    <w:rsid w:val="626A22DF"/>
    <w:rsid w:val="62735988"/>
    <w:rsid w:val="627571CC"/>
    <w:rsid w:val="62781D67"/>
    <w:rsid w:val="6278553B"/>
    <w:rsid w:val="627B17F2"/>
    <w:rsid w:val="627C070C"/>
    <w:rsid w:val="62811713"/>
    <w:rsid w:val="628874DA"/>
    <w:rsid w:val="628C71A0"/>
    <w:rsid w:val="6294257A"/>
    <w:rsid w:val="629754D1"/>
    <w:rsid w:val="629A5BC4"/>
    <w:rsid w:val="629F4DB6"/>
    <w:rsid w:val="62A549E3"/>
    <w:rsid w:val="62AA080B"/>
    <w:rsid w:val="62AA2F74"/>
    <w:rsid w:val="62AC5481"/>
    <w:rsid w:val="62B8127F"/>
    <w:rsid w:val="62B93E27"/>
    <w:rsid w:val="62BA1EF5"/>
    <w:rsid w:val="62C35A83"/>
    <w:rsid w:val="62C36061"/>
    <w:rsid w:val="62E03243"/>
    <w:rsid w:val="62E72C9E"/>
    <w:rsid w:val="62EC25FF"/>
    <w:rsid w:val="63032836"/>
    <w:rsid w:val="63053E62"/>
    <w:rsid w:val="63061A7D"/>
    <w:rsid w:val="634214CF"/>
    <w:rsid w:val="634257A6"/>
    <w:rsid w:val="634A1696"/>
    <w:rsid w:val="63596800"/>
    <w:rsid w:val="635C1552"/>
    <w:rsid w:val="635E095B"/>
    <w:rsid w:val="63663EE7"/>
    <w:rsid w:val="636B2E14"/>
    <w:rsid w:val="636B432C"/>
    <w:rsid w:val="637065A9"/>
    <w:rsid w:val="6378409C"/>
    <w:rsid w:val="638D3CFD"/>
    <w:rsid w:val="638F1453"/>
    <w:rsid w:val="63922D79"/>
    <w:rsid w:val="63924F15"/>
    <w:rsid w:val="63A129AA"/>
    <w:rsid w:val="63AD225A"/>
    <w:rsid w:val="63B23927"/>
    <w:rsid w:val="63B905F4"/>
    <w:rsid w:val="63D5150B"/>
    <w:rsid w:val="63E70059"/>
    <w:rsid w:val="63E95F9B"/>
    <w:rsid w:val="63EF0E06"/>
    <w:rsid w:val="63FF7EE7"/>
    <w:rsid w:val="640311C9"/>
    <w:rsid w:val="64091FCB"/>
    <w:rsid w:val="641750FC"/>
    <w:rsid w:val="641C7BA5"/>
    <w:rsid w:val="64262278"/>
    <w:rsid w:val="6434173C"/>
    <w:rsid w:val="64374948"/>
    <w:rsid w:val="643C723A"/>
    <w:rsid w:val="6445178B"/>
    <w:rsid w:val="64476B06"/>
    <w:rsid w:val="644B391E"/>
    <w:rsid w:val="644B416D"/>
    <w:rsid w:val="64525521"/>
    <w:rsid w:val="645A2145"/>
    <w:rsid w:val="646D10D1"/>
    <w:rsid w:val="64751A67"/>
    <w:rsid w:val="647A7774"/>
    <w:rsid w:val="647C3B61"/>
    <w:rsid w:val="647E3F6A"/>
    <w:rsid w:val="648B1945"/>
    <w:rsid w:val="648B676B"/>
    <w:rsid w:val="648D53E6"/>
    <w:rsid w:val="64946FB7"/>
    <w:rsid w:val="649D0924"/>
    <w:rsid w:val="64BC7BBE"/>
    <w:rsid w:val="64D1032D"/>
    <w:rsid w:val="64D32A27"/>
    <w:rsid w:val="64D5095C"/>
    <w:rsid w:val="64E36AAE"/>
    <w:rsid w:val="64EE3A14"/>
    <w:rsid w:val="64EF66F4"/>
    <w:rsid w:val="64F85480"/>
    <w:rsid w:val="64FE4C87"/>
    <w:rsid w:val="65010131"/>
    <w:rsid w:val="65016D73"/>
    <w:rsid w:val="6509069B"/>
    <w:rsid w:val="650B3B51"/>
    <w:rsid w:val="65100AFB"/>
    <w:rsid w:val="65141AE5"/>
    <w:rsid w:val="651D77F7"/>
    <w:rsid w:val="65221730"/>
    <w:rsid w:val="65277B99"/>
    <w:rsid w:val="65397CBD"/>
    <w:rsid w:val="653A481F"/>
    <w:rsid w:val="653B0EE8"/>
    <w:rsid w:val="65414BD2"/>
    <w:rsid w:val="6543784D"/>
    <w:rsid w:val="654579BE"/>
    <w:rsid w:val="65486055"/>
    <w:rsid w:val="65516188"/>
    <w:rsid w:val="655607F5"/>
    <w:rsid w:val="655C3BB7"/>
    <w:rsid w:val="655E2B5D"/>
    <w:rsid w:val="65656722"/>
    <w:rsid w:val="657265E1"/>
    <w:rsid w:val="657C39BA"/>
    <w:rsid w:val="658302B0"/>
    <w:rsid w:val="65967E27"/>
    <w:rsid w:val="65983C9F"/>
    <w:rsid w:val="659D5BF6"/>
    <w:rsid w:val="65A35EE4"/>
    <w:rsid w:val="65C33C43"/>
    <w:rsid w:val="65C42626"/>
    <w:rsid w:val="65C87B21"/>
    <w:rsid w:val="65CB7BA4"/>
    <w:rsid w:val="65D50FD3"/>
    <w:rsid w:val="65DC2913"/>
    <w:rsid w:val="65E62070"/>
    <w:rsid w:val="65E94F21"/>
    <w:rsid w:val="65EA1CC2"/>
    <w:rsid w:val="65F55A8A"/>
    <w:rsid w:val="65F85891"/>
    <w:rsid w:val="661F605A"/>
    <w:rsid w:val="662F502E"/>
    <w:rsid w:val="66325CA0"/>
    <w:rsid w:val="66326519"/>
    <w:rsid w:val="66367914"/>
    <w:rsid w:val="66431EC3"/>
    <w:rsid w:val="66441474"/>
    <w:rsid w:val="66452401"/>
    <w:rsid w:val="66455A74"/>
    <w:rsid w:val="6646487E"/>
    <w:rsid w:val="665028C3"/>
    <w:rsid w:val="666163C5"/>
    <w:rsid w:val="66627547"/>
    <w:rsid w:val="6666759E"/>
    <w:rsid w:val="666C3DC4"/>
    <w:rsid w:val="666F1798"/>
    <w:rsid w:val="667B1A58"/>
    <w:rsid w:val="667C49F0"/>
    <w:rsid w:val="6697489E"/>
    <w:rsid w:val="66AD5663"/>
    <w:rsid w:val="66B227C9"/>
    <w:rsid w:val="66B333FA"/>
    <w:rsid w:val="66BB7F37"/>
    <w:rsid w:val="66C25B1A"/>
    <w:rsid w:val="66C5515D"/>
    <w:rsid w:val="66C66736"/>
    <w:rsid w:val="66C909FB"/>
    <w:rsid w:val="66D31375"/>
    <w:rsid w:val="66D43A33"/>
    <w:rsid w:val="66D77CC0"/>
    <w:rsid w:val="66F13DFC"/>
    <w:rsid w:val="66F73908"/>
    <w:rsid w:val="66F80321"/>
    <w:rsid w:val="66FC7C20"/>
    <w:rsid w:val="66FE388A"/>
    <w:rsid w:val="67042D22"/>
    <w:rsid w:val="670A335C"/>
    <w:rsid w:val="670E48E4"/>
    <w:rsid w:val="671052AD"/>
    <w:rsid w:val="67205C28"/>
    <w:rsid w:val="67270395"/>
    <w:rsid w:val="67310D57"/>
    <w:rsid w:val="6743679C"/>
    <w:rsid w:val="674B517F"/>
    <w:rsid w:val="675E199B"/>
    <w:rsid w:val="676F7C24"/>
    <w:rsid w:val="677B0878"/>
    <w:rsid w:val="679B1685"/>
    <w:rsid w:val="679B5ADA"/>
    <w:rsid w:val="67A67436"/>
    <w:rsid w:val="67A7505D"/>
    <w:rsid w:val="67AA37E0"/>
    <w:rsid w:val="67B54247"/>
    <w:rsid w:val="67BE2D03"/>
    <w:rsid w:val="67C231C0"/>
    <w:rsid w:val="67C74B2C"/>
    <w:rsid w:val="67CE4D48"/>
    <w:rsid w:val="67D07B9C"/>
    <w:rsid w:val="67D128F6"/>
    <w:rsid w:val="67DD2535"/>
    <w:rsid w:val="67DE2878"/>
    <w:rsid w:val="67E8228F"/>
    <w:rsid w:val="67F57974"/>
    <w:rsid w:val="67FD4D26"/>
    <w:rsid w:val="67FD6698"/>
    <w:rsid w:val="67FF7A35"/>
    <w:rsid w:val="68022A5E"/>
    <w:rsid w:val="680B46AB"/>
    <w:rsid w:val="680B46C6"/>
    <w:rsid w:val="680D05C6"/>
    <w:rsid w:val="680D25E4"/>
    <w:rsid w:val="681C367A"/>
    <w:rsid w:val="681C54D7"/>
    <w:rsid w:val="68206CBB"/>
    <w:rsid w:val="682D52DB"/>
    <w:rsid w:val="68350112"/>
    <w:rsid w:val="683F311F"/>
    <w:rsid w:val="68415DB9"/>
    <w:rsid w:val="68425112"/>
    <w:rsid w:val="68527BC6"/>
    <w:rsid w:val="686F224B"/>
    <w:rsid w:val="68721EBB"/>
    <w:rsid w:val="687406E4"/>
    <w:rsid w:val="68821FCE"/>
    <w:rsid w:val="68841780"/>
    <w:rsid w:val="68866288"/>
    <w:rsid w:val="688B4846"/>
    <w:rsid w:val="688C2C0A"/>
    <w:rsid w:val="688D79E5"/>
    <w:rsid w:val="68937FB3"/>
    <w:rsid w:val="68966381"/>
    <w:rsid w:val="689D6844"/>
    <w:rsid w:val="68A253D6"/>
    <w:rsid w:val="68AF7D2E"/>
    <w:rsid w:val="68B804FB"/>
    <w:rsid w:val="68C22556"/>
    <w:rsid w:val="68C37A4C"/>
    <w:rsid w:val="68D235FE"/>
    <w:rsid w:val="68D260FB"/>
    <w:rsid w:val="68D518B5"/>
    <w:rsid w:val="68E32F74"/>
    <w:rsid w:val="68E63806"/>
    <w:rsid w:val="68E72129"/>
    <w:rsid w:val="68EA37EC"/>
    <w:rsid w:val="68EA645A"/>
    <w:rsid w:val="68ED37B2"/>
    <w:rsid w:val="68FB5420"/>
    <w:rsid w:val="691849F4"/>
    <w:rsid w:val="691B6213"/>
    <w:rsid w:val="6922466B"/>
    <w:rsid w:val="69285448"/>
    <w:rsid w:val="692900CC"/>
    <w:rsid w:val="69323189"/>
    <w:rsid w:val="69341E92"/>
    <w:rsid w:val="693D337E"/>
    <w:rsid w:val="693E13AD"/>
    <w:rsid w:val="693E638A"/>
    <w:rsid w:val="694B27B8"/>
    <w:rsid w:val="694F7819"/>
    <w:rsid w:val="695E54ED"/>
    <w:rsid w:val="69636BC4"/>
    <w:rsid w:val="697A2AFC"/>
    <w:rsid w:val="697F5B50"/>
    <w:rsid w:val="698B2BD8"/>
    <w:rsid w:val="698B78B7"/>
    <w:rsid w:val="6996217E"/>
    <w:rsid w:val="6996788E"/>
    <w:rsid w:val="69A119AB"/>
    <w:rsid w:val="69A538F8"/>
    <w:rsid w:val="69B358B8"/>
    <w:rsid w:val="69C3166A"/>
    <w:rsid w:val="69C50875"/>
    <w:rsid w:val="69CC4411"/>
    <w:rsid w:val="69D30B30"/>
    <w:rsid w:val="69D961A0"/>
    <w:rsid w:val="69E03892"/>
    <w:rsid w:val="69E8633C"/>
    <w:rsid w:val="69E90399"/>
    <w:rsid w:val="69EB4FD2"/>
    <w:rsid w:val="69F0515B"/>
    <w:rsid w:val="69F15CCD"/>
    <w:rsid w:val="69FC1682"/>
    <w:rsid w:val="6A035CA8"/>
    <w:rsid w:val="6A0544F5"/>
    <w:rsid w:val="6A061660"/>
    <w:rsid w:val="6A0F543E"/>
    <w:rsid w:val="6A132C66"/>
    <w:rsid w:val="6A1914B9"/>
    <w:rsid w:val="6A1A53FA"/>
    <w:rsid w:val="6A20510C"/>
    <w:rsid w:val="6A2F0B45"/>
    <w:rsid w:val="6A311A71"/>
    <w:rsid w:val="6A3307B3"/>
    <w:rsid w:val="6A335067"/>
    <w:rsid w:val="6A3E22C2"/>
    <w:rsid w:val="6A3F511A"/>
    <w:rsid w:val="6A471FCE"/>
    <w:rsid w:val="6A4B4A2B"/>
    <w:rsid w:val="6A57685B"/>
    <w:rsid w:val="6A6324C4"/>
    <w:rsid w:val="6A6C6D6E"/>
    <w:rsid w:val="6A7538BC"/>
    <w:rsid w:val="6A77387A"/>
    <w:rsid w:val="6A814844"/>
    <w:rsid w:val="6A843854"/>
    <w:rsid w:val="6A862861"/>
    <w:rsid w:val="6A8C3132"/>
    <w:rsid w:val="6AA02E2D"/>
    <w:rsid w:val="6AA0327C"/>
    <w:rsid w:val="6AA477D2"/>
    <w:rsid w:val="6AA87D52"/>
    <w:rsid w:val="6AA96A89"/>
    <w:rsid w:val="6AAB7EE9"/>
    <w:rsid w:val="6AB00D44"/>
    <w:rsid w:val="6AB22BBE"/>
    <w:rsid w:val="6AB96366"/>
    <w:rsid w:val="6ADD0267"/>
    <w:rsid w:val="6AE14D41"/>
    <w:rsid w:val="6AE227EA"/>
    <w:rsid w:val="6AE629D5"/>
    <w:rsid w:val="6AEA08C8"/>
    <w:rsid w:val="6AEF34FA"/>
    <w:rsid w:val="6AEF7080"/>
    <w:rsid w:val="6AF06AD8"/>
    <w:rsid w:val="6B016EFE"/>
    <w:rsid w:val="6B064550"/>
    <w:rsid w:val="6B080DE4"/>
    <w:rsid w:val="6B2220E6"/>
    <w:rsid w:val="6B256DE9"/>
    <w:rsid w:val="6B3049D2"/>
    <w:rsid w:val="6B375899"/>
    <w:rsid w:val="6B3A0D7D"/>
    <w:rsid w:val="6B3A159B"/>
    <w:rsid w:val="6B601D21"/>
    <w:rsid w:val="6B683CAA"/>
    <w:rsid w:val="6B6B65F4"/>
    <w:rsid w:val="6B7832C2"/>
    <w:rsid w:val="6B797DE2"/>
    <w:rsid w:val="6B841AEC"/>
    <w:rsid w:val="6B8775B8"/>
    <w:rsid w:val="6B8B1C79"/>
    <w:rsid w:val="6B90555F"/>
    <w:rsid w:val="6B92219F"/>
    <w:rsid w:val="6B93030D"/>
    <w:rsid w:val="6BA3352E"/>
    <w:rsid w:val="6BA40169"/>
    <w:rsid w:val="6BA96B21"/>
    <w:rsid w:val="6BB4405A"/>
    <w:rsid w:val="6BB911D4"/>
    <w:rsid w:val="6BC3108B"/>
    <w:rsid w:val="6BC544C7"/>
    <w:rsid w:val="6BDB6AEA"/>
    <w:rsid w:val="6BE85FAF"/>
    <w:rsid w:val="6BEA6037"/>
    <w:rsid w:val="6BF40C1E"/>
    <w:rsid w:val="6BF4149D"/>
    <w:rsid w:val="6BFA54A5"/>
    <w:rsid w:val="6BFB039C"/>
    <w:rsid w:val="6C0106F4"/>
    <w:rsid w:val="6C092001"/>
    <w:rsid w:val="6C0C2DCA"/>
    <w:rsid w:val="6C0D5970"/>
    <w:rsid w:val="6C12174F"/>
    <w:rsid w:val="6C150BCD"/>
    <w:rsid w:val="6C1B2A09"/>
    <w:rsid w:val="6C1C0FA1"/>
    <w:rsid w:val="6C1E0F32"/>
    <w:rsid w:val="6C234E05"/>
    <w:rsid w:val="6C3F4999"/>
    <w:rsid w:val="6C4B02D5"/>
    <w:rsid w:val="6C5531CB"/>
    <w:rsid w:val="6C556884"/>
    <w:rsid w:val="6C6E2596"/>
    <w:rsid w:val="6C6E31B9"/>
    <w:rsid w:val="6C737BE7"/>
    <w:rsid w:val="6C8352A1"/>
    <w:rsid w:val="6C845834"/>
    <w:rsid w:val="6C983716"/>
    <w:rsid w:val="6CA30C58"/>
    <w:rsid w:val="6CA53507"/>
    <w:rsid w:val="6CAA2615"/>
    <w:rsid w:val="6CAC0215"/>
    <w:rsid w:val="6CAF5B90"/>
    <w:rsid w:val="6CB145C5"/>
    <w:rsid w:val="6CB203C5"/>
    <w:rsid w:val="6CD6347C"/>
    <w:rsid w:val="6CDE47A2"/>
    <w:rsid w:val="6CFC0133"/>
    <w:rsid w:val="6CFD5AFD"/>
    <w:rsid w:val="6D053713"/>
    <w:rsid w:val="6D054409"/>
    <w:rsid w:val="6D077354"/>
    <w:rsid w:val="6D136725"/>
    <w:rsid w:val="6D1E2AA7"/>
    <w:rsid w:val="6D24397E"/>
    <w:rsid w:val="6D27754C"/>
    <w:rsid w:val="6D2F46D3"/>
    <w:rsid w:val="6D2F5093"/>
    <w:rsid w:val="6D3B1400"/>
    <w:rsid w:val="6D463B18"/>
    <w:rsid w:val="6D4E2235"/>
    <w:rsid w:val="6D534437"/>
    <w:rsid w:val="6D592DF5"/>
    <w:rsid w:val="6D5D75FD"/>
    <w:rsid w:val="6D603EFA"/>
    <w:rsid w:val="6D6E086A"/>
    <w:rsid w:val="6D6F54D8"/>
    <w:rsid w:val="6D7350DE"/>
    <w:rsid w:val="6D787170"/>
    <w:rsid w:val="6D887B4C"/>
    <w:rsid w:val="6D8E7646"/>
    <w:rsid w:val="6D9C6AF9"/>
    <w:rsid w:val="6DA6505E"/>
    <w:rsid w:val="6DAE7A4E"/>
    <w:rsid w:val="6DBC4614"/>
    <w:rsid w:val="6DC334BC"/>
    <w:rsid w:val="6DC71D26"/>
    <w:rsid w:val="6DCC5CFC"/>
    <w:rsid w:val="6DD31605"/>
    <w:rsid w:val="6DDC453A"/>
    <w:rsid w:val="6DE26B30"/>
    <w:rsid w:val="6DE7070B"/>
    <w:rsid w:val="6DEB0109"/>
    <w:rsid w:val="6DEB6E3B"/>
    <w:rsid w:val="6DED6E59"/>
    <w:rsid w:val="6DEF60E0"/>
    <w:rsid w:val="6E142BE9"/>
    <w:rsid w:val="6E1C58FA"/>
    <w:rsid w:val="6E1E7D3B"/>
    <w:rsid w:val="6E23060C"/>
    <w:rsid w:val="6E2E1800"/>
    <w:rsid w:val="6E2E376A"/>
    <w:rsid w:val="6E3513D7"/>
    <w:rsid w:val="6E372B4E"/>
    <w:rsid w:val="6E3B784B"/>
    <w:rsid w:val="6E415EFD"/>
    <w:rsid w:val="6E5C2770"/>
    <w:rsid w:val="6E5E58F3"/>
    <w:rsid w:val="6E5E7044"/>
    <w:rsid w:val="6E5F25F0"/>
    <w:rsid w:val="6E606EAD"/>
    <w:rsid w:val="6E6B6690"/>
    <w:rsid w:val="6E733407"/>
    <w:rsid w:val="6E761A0A"/>
    <w:rsid w:val="6E882F97"/>
    <w:rsid w:val="6E944477"/>
    <w:rsid w:val="6E991488"/>
    <w:rsid w:val="6EA66DBB"/>
    <w:rsid w:val="6EAA014D"/>
    <w:rsid w:val="6EB8441C"/>
    <w:rsid w:val="6ECF06EB"/>
    <w:rsid w:val="6ECF26C1"/>
    <w:rsid w:val="6ED30B43"/>
    <w:rsid w:val="6ED7235F"/>
    <w:rsid w:val="6EDE5D23"/>
    <w:rsid w:val="6EDF436A"/>
    <w:rsid w:val="6EE260C2"/>
    <w:rsid w:val="6F2133E6"/>
    <w:rsid w:val="6F2422CE"/>
    <w:rsid w:val="6F256420"/>
    <w:rsid w:val="6F2B7529"/>
    <w:rsid w:val="6F3E7C55"/>
    <w:rsid w:val="6F3F526B"/>
    <w:rsid w:val="6F4B5C3C"/>
    <w:rsid w:val="6F4D7CEC"/>
    <w:rsid w:val="6F553C60"/>
    <w:rsid w:val="6F5915EE"/>
    <w:rsid w:val="6F5F640F"/>
    <w:rsid w:val="6F605222"/>
    <w:rsid w:val="6F635D28"/>
    <w:rsid w:val="6F6B00B2"/>
    <w:rsid w:val="6F6D0BFD"/>
    <w:rsid w:val="6F7913A0"/>
    <w:rsid w:val="6F7A6D07"/>
    <w:rsid w:val="6F931989"/>
    <w:rsid w:val="6FAF6EA1"/>
    <w:rsid w:val="6FBB22F1"/>
    <w:rsid w:val="6FCB399E"/>
    <w:rsid w:val="6FDB7341"/>
    <w:rsid w:val="6FEB3E00"/>
    <w:rsid w:val="6FED7074"/>
    <w:rsid w:val="700057E3"/>
    <w:rsid w:val="700A06E8"/>
    <w:rsid w:val="700D755F"/>
    <w:rsid w:val="70267B34"/>
    <w:rsid w:val="70325DDE"/>
    <w:rsid w:val="70376B0E"/>
    <w:rsid w:val="703E46B1"/>
    <w:rsid w:val="703F67DE"/>
    <w:rsid w:val="70410ED3"/>
    <w:rsid w:val="70426864"/>
    <w:rsid w:val="704B3317"/>
    <w:rsid w:val="704E5E43"/>
    <w:rsid w:val="7056655A"/>
    <w:rsid w:val="70621DD7"/>
    <w:rsid w:val="70631D34"/>
    <w:rsid w:val="706332B9"/>
    <w:rsid w:val="70641BC0"/>
    <w:rsid w:val="706703D7"/>
    <w:rsid w:val="70762DD8"/>
    <w:rsid w:val="70844FBF"/>
    <w:rsid w:val="708B124C"/>
    <w:rsid w:val="708C3D0B"/>
    <w:rsid w:val="70947FE1"/>
    <w:rsid w:val="709A286C"/>
    <w:rsid w:val="70B858B0"/>
    <w:rsid w:val="70B87DED"/>
    <w:rsid w:val="70C6118A"/>
    <w:rsid w:val="70C93372"/>
    <w:rsid w:val="70D97DF4"/>
    <w:rsid w:val="70EC2C11"/>
    <w:rsid w:val="70F80B8D"/>
    <w:rsid w:val="70FC3F3D"/>
    <w:rsid w:val="70FE431D"/>
    <w:rsid w:val="710246F4"/>
    <w:rsid w:val="710D6398"/>
    <w:rsid w:val="7115292A"/>
    <w:rsid w:val="711557F4"/>
    <w:rsid w:val="711A0AD4"/>
    <w:rsid w:val="711C188C"/>
    <w:rsid w:val="71241AED"/>
    <w:rsid w:val="712754A1"/>
    <w:rsid w:val="71403F87"/>
    <w:rsid w:val="714060A5"/>
    <w:rsid w:val="7142192B"/>
    <w:rsid w:val="714555EB"/>
    <w:rsid w:val="714C6AE4"/>
    <w:rsid w:val="71577307"/>
    <w:rsid w:val="7158132E"/>
    <w:rsid w:val="7159035A"/>
    <w:rsid w:val="715F4E61"/>
    <w:rsid w:val="716C48EC"/>
    <w:rsid w:val="716C7A2E"/>
    <w:rsid w:val="717C1C6F"/>
    <w:rsid w:val="71865EE1"/>
    <w:rsid w:val="718C1E0D"/>
    <w:rsid w:val="719C00BF"/>
    <w:rsid w:val="71A016E9"/>
    <w:rsid w:val="71A76E0C"/>
    <w:rsid w:val="71AB7B41"/>
    <w:rsid w:val="71B23AFB"/>
    <w:rsid w:val="71B5348F"/>
    <w:rsid w:val="71BA6FE3"/>
    <w:rsid w:val="71C20393"/>
    <w:rsid w:val="71CB3077"/>
    <w:rsid w:val="71CE2444"/>
    <w:rsid w:val="71DB12B6"/>
    <w:rsid w:val="71DE7AC2"/>
    <w:rsid w:val="71DF7A6B"/>
    <w:rsid w:val="71EC07D7"/>
    <w:rsid w:val="71FA2A8A"/>
    <w:rsid w:val="72031B2C"/>
    <w:rsid w:val="7233312C"/>
    <w:rsid w:val="7234501E"/>
    <w:rsid w:val="724B584C"/>
    <w:rsid w:val="72574395"/>
    <w:rsid w:val="726C0D10"/>
    <w:rsid w:val="7274230A"/>
    <w:rsid w:val="727E3CC2"/>
    <w:rsid w:val="72817021"/>
    <w:rsid w:val="72842D1E"/>
    <w:rsid w:val="72887463"/>
    <w:rsid w:val="728934A5"/>
    <w:rsid w:val="728F0E35"/>
    <w:rsid w:val="728F5394"/>
    <w:rsid w:val="729C1FD2"/>
    <w:rsid w:val="729C6258"/>
    <w:rsid w:val="72A34F16"/>
    <w:rsid w:val="72AB6FAC"/>
    <w:rsid w:val="72AE3261"/>
    <w:rsid w:val="72B2142A"/>
    <w:rsid w:val="72B3204A"/>
    <w:rsid w:val="72CC1919"/>
    <w:rsid w:val="72D127A6"/>
    <w:rsid w:val="72D3321B"/>
    <w:rsid w:val="72D77449"/>
    <w:rsid w:val="72D85BEB"/>
    <w:rsid w:val="72E008BD"/>
    <w:rsid w:val="72E8649A"/>
    <w:rsid w:val="72ED27F4"/>
    <w:rsid w:val="72EE7FD9"/>
    <w:rsid w:val="72F67747"/>
    <w:rsid w:val="730979A0"/>
    <w:rsid w:val="730C7826"/>
    <w:rsid w:val="73103220"/>
    <w:rsid w:val="73117065"/>
    <w:rsid w:val="7314267A"/>
    <w:rsid w:val="73182274"/>
    <w:rsid w:val="7319654B"/>
    <w:rsid w:val="732523F5"/>
    <w:rsid w:val="732F1C8D"/>
    <w:rsid w:val="73364639"/>
    <w:rsid w:val="734125CB"/>
    <w:rsid w:val="734B130D"/>
    <w:rsid w:val="734E0EE2"/>
    <w:rsid w:val="736523BB"/>
    <w:rsid w:val="736809F8"/>
    <w:rsid w:val="73697B74"/>
    <w:rsid w:val="737710AF"/>
    <w:rsid w:val="737826AC"/>
    <w:rsid w:val="737C0E4D"/>
    <w:rsid w:val="737F77F0"/>
    <w:rsid w:val="73805B5A"/>
    <w:rsid w:val="738B137E"/>
    <w:rsid w:val="73943942"/>
    <w:rsid w:val="739B3320"/>
    <w:rsid w:val="73AD5AE4"/>
    <w:rsid w:val="73B31959"/>
    <w:rsid w:val="73B52EA1"/>
    <w:rsid w:val="73B75FCA"/>
    <w:rsid w:val="73BA09F3"/>
    <w:rsid w:val="73BA0EB8"/>
    <w:rsid w:val="73BF12A9"/>
    <w:rsid w:val="73C07526"/>
    <w:rsid w:val="73C5339B"/>
    <w:rsid w:val="73CB7781"/>
    <w:rsid w:val="73E056D3"/>
    <w:rsid w:val="73E43DE2"/>
    <w:rsid w:val="73F21BDB"/>
    <w:rsid w:val="742350B6"/>
    <w:rsid w:val="742A11D1"/>
    <w:rsid w:val="743C3A7A"/>
    <w:rsid w:val="74427329"/>
    <w:rsid w:val="74427839"/>
    <w:rsid w:val="744463C7"/>
    <w:rsid w:val="744757B7"/>
    <w:rsid w:val="74553DFB"/>
    <w:rsid w:val="74604094"/>
    <w:rsid w:val="746664E9"/>
    <w:rsid w:val="74696271"/>
    <w:rsid w:val="7482685B"/>
    <w:rsid w:val="74907589"/>
    <w:rsid w:val="749525E0"/>
    <w:rsid w:val="74991317"/>
    <w:rsid w:val="74A03689"/>
    <w:rsid w:val="74A126D7"/>
    <w:rsid w:val="74A7295E"/>
    <w:rsid w:val="74AF393C"/>
    <w:rsid w:val="74AF4BF8"/>
    <w:rsid w:val="74B35CC6"/>
    <w:rsid w:val="74BC6DB1"/>
    <w:rsid w:val="74CE37A5"/>
    <w:rsid w:val="74DF521A"/>
    <w:rsid w:val="74E1547E"/>
    <w:rsid w:val="74EE146D"/>
    <w:rsid w:val="74F01119"/>
    <w:rsid w:val="74F521D4"/>
    <w:rsid w:val="74FE005D"/>
    <w:rsid w:val="75001084"/>
    <w:rsid w:val="75023A53"/>
    <w:rsid w:val="750D565E"/>
    <w:rsid w:val="750F226F"/>
    <w:rsid w:val="750F5CCB"/>
    <w:rsid w:val="75165BBB"/>
    <w:rsid w:val="75287B15"/>
    <w:rsid w:val="752A1F40"/>
    <w:rsid w:val="752E5D11"/>
    <w:rsid w:val="753310D0"/>
    <w:rsid w:val="753A321A"/>
    <w:rsid w:val="75514A76"/>
    <w:rsid w:val="75553FA2"/>
    <w:rsid w:val="7561768F"/>
    <w:rsid w:val="756848FA"/>
    <w:rsid w:val="75723829"/>
    <w:rsid w:val="757C7A82"/>
    <w:rsid w:val="75806C47"/>
    <w:rsid w:val="7586115F"/>
    <w:rsid w:val="758744DD"/>
    <w:rsid w:val="758A0E60"/>
    <w:rsid w:val="75924FCC"/>
    <w:rsid w:val="759254CD"/>
    <w:rsid w:val="75957BB2"/>
    <w:rsid w:val="75982EF5"/>
    <w:rsid w:val="75987E4C"/>
    <w:rsid w:val="7599292A"/>
    <w:rsid w:val="759B5719"/>
    <w:rsid w:val="759B742F"/>
    <w:rsid w:val="759D2F23"/>
    <w:rsid w:val="75BA02A4"/>
    <w:rsid w:val="75BA6BDA"/>
    <w:rsid w:val="75BE2692"/>
    <w:rsid w:val="75C230BF"/>
    <w:rsid w:val="75D50920"/>
    <w:rsid w:val="75D8503B"/>
    <w:rsid w:val="75E03B71"/>
    <w:rsid w:val="75E37AAF"/>
    <w:rsid w:val="75EB6D92"/>
    <w:rsid w:val="75EF31E6"/>
    <w:rsid w:val="76043E5B"/>
    <w:rsid w:val="76045296"/>
    <w:rsid w:val="76052AFA"/>
    <w:rsid w:val="760747F7"/>
    <w:rsid w:val="762C6306"/>
    <w:rsid w:val="76421F68"/>
    <w:rsid w:val="764C7512"/>
    <w:rsid w:val="76506C4F"/>
    <w:rsid w:val="76535464"/>
    <w:rsid w:val="765539D5"/>
    <w:rsid w:val="76571F10"/>
    <w:rsid w:val="7658088B"/>
    <w:rsid w:val="76585E0C"/>
    <w:rsid w:val="765E0FB5"/>
    <w:rsid w:val="76601601"/>
    <w:rsid w:val="766359B8"/>
    <w:rsid w:val="766C294A"/>
    <w:rsid w:val="76766B3F"/>
    <w:rsid w:val="767773B4"/>
    <w:rsid w:val="767A1CD9"/>
    <w:rsid w:val="767D0208"/>
    <w:rsid w:val="76857C6C"/>
    <w:rsid w:val="76866560"/>
    <w:rsid w:val="76913551"/>
    <w:rsid w:val="769A0F13"/>
    <w:rsid w:val="76A20EF9"/>
    <w:rsid w:val="76A4284E"/>
    <w:rsid w:val="76A678EC"/>
    <w:rsid w:val="76A97E5E"/>
    <w:rsid w:val="76B17406"/>
    <w:rsid w:val="76B23553"/>
    <w:rsid w:val="76B60620"/>
    <w:rsid w:val="76CD4AE8"/>
    <w:rsid w:val="76D67DE6"/>
    <w:rsid w:val="76DD311A"/>
    <w:rsid w:val="76DD3F44"/>
    <w:rsid w:val="76DD5C3A"/>
    <w:rsid w:val="76E81B42"/>
    <w:rsid w:val="76E92953"/>
    <w:rsid w:val="76ED44D7"/>
    <w:rsid w:val="76FC7FF9"/>
    <w:rsid w:val="7709123D"/>
    <w:rsid w:val="77105820"/>
    <w:rsid w:val="77167B77"/>
    <w:rsid w:val="771812FD"/>
    <w:rsid w:val="7719203E"/>
    <w:rsid w:val="77240127"/>
    <w:rsid w:val="7725153A"/>
    <w:rsid w:val="772D1908"/>
    <w:rsid w:val="772E6F47"/>
    <w:rsid w:val="773F48D1"/>
    <w:rsid w:val="77435D79"/>
    <w:rsid w:val="77435F63"/>
    <w:rsid w:val="774E210F"/>
    <w:rsid w:val="77616301"/>
    <w:rsid w:val="77721985"/>
    <w:rsid w:val="777B14E3"/>
    <w:rsid w:val="777C2B31"/>
    <w:rsid w:val="778276BF"/>
    <w:rsid w:val="77877C8B"/>
    <w:rsid w:val="778874B8"/>
    <w:rsid w:val="77936B1D"/>
    <w:rsid w:val="77A417B3"/>
    <w:rsid w:val="77AA7DD8"/>
    <w:rsid w:val="77B72741"/>
    <w:rsid w:val="77B80E55"/>
    <w:rsid w:val="77C30E5B"/>
    <w:rsid w:val="77CA5C64"/>
    <w:rsid w:val="77CB2A47"/>
    <w:rsid w:val="77E34AF5"/>
    <w:rsid w:val="77E41BA9"/>
    <w:rsid w:val="77E77BDD"/>
    <w:rsid w:val="77E80ABA"/>
    <w:rsid w:val="77EB4D44"/>
    <w:rsid w:val="78013054"/>
    <w:rsid w:val="781538E9"/>
    <w:rsid w:val="78242195"/>
    <w:rsid w:val="782B21D8"/>
    <w:rsid w:val="782C5E74"/>
    <w:rsid w:val="78307F43"/>
    <w:rsid w:val="783637F6"/>
    <w:rsid w:val="7850367D"/>
    <w:rsid w:val="785A739B"/>
    <w:rsid w:val="785B3F44"/>
    <w:rsid w:val="785F34C9"/>
    <w:rsid w:val="786634F8"/>
    <w:rsid w:val="788141F5"/>
    <w:rsid w:val="78857F1E"/>
    <w:rsid w:val="78925939"/>
    <w:rsid w:val="78930BEF"/>
    <w:rsid w:val="7895316F"/>
    <w:rsid w:val="78A10382"/>
    <w:rsid w:val="78A558C5"/>
    <w:rsid w:val="78A831BE"/>
    <w:rsid w:val="78B237B3"/>
    <w:rsid w:val="78B27AD3"/>
    <w:rsid w:val="78B7222D"/>
    <w:rsid w:val="78C008D7"/>
    <w:rsid w:val="78C81CD7"/>
    <w:rsid w:val="78CB27D6"/>
    <w:rsid w:val="78E06DEB"/>
    <w:rsid w:val="78E51DF5"/>
    <w:rsid w:val="78E66E10"/>
    <w:rsid w:val="78F76AE1"/>
    <w:rsid w:val="79040E7B"/>
    <w:rsid w:val="791042F4"/>
    <w:rsid w:val="79165B73"/>
    <w:rsid w:val="791712DD"/>
    <w:rsid w:val="79171D64"/>
    <w:rsid w:val="791746EC"/>
    <w:rsid w:val="791A0126"/>
    <w:rsid w:val="791C505F"/>
    <w:rsid w:val="79246C37"/>
    <w:rsid w:val="792770B6"/>
    <w:rsid w:val="793732C7"/>
    <w:rsid w:val="793933C4"/>
    <w:rsid w:val="794954E7"/>
    <w:rsid w:val="794E3B6F"/>
    <w:rsid w:val="795C363E"/>
    <w:rsid w:val="796C0BBB"/>
    <w:rsid w:val="79755B63"/>
    <w:rsid w:val="79814ABC"/>
    <w:rsid w:val="798472FC"/>
    <w:rsid w:val="79895319"/>
    <w:rsid w:val="799B344B"/>
    <w:rsid w:val="799C543E"/>
    <w:rsid w:val="799D4629"/>
    <w:rsid w:val="79B44D2F"/>
    <w:rsid w:val="79B65241"/>
    <w:rsid w:val="79CE711D"/>
    <w:rsid w:val="79D514C9"/>
    <w:rsid w:val="79D8019F"/>
    <w:rsid w:val="79DA370B"/>
    <w:rsid w:val="79DB4B53"/>
    <w:rsid w:val="79EE6988"/>
    <w:rsid w:val="79F2106C"/>
    <w:rsid w:val="7A021413"/>
    <w:rsid w:val="7A094DD5"/>
    <w:rsid w:val="7A0A5FBE"/>
    <w:rsid w:val="7A0C4A45"/>
    <w:rsid w:val="7A0E491F"/>
    <w:rsid w:val="7A1206FA"/>
    <w:rsid w:val="7A1432A7"/>
    <w:rsid w:val="7A157D73"/>
    <w:rsid w:val="7A25655D"/>
    <w:rsid w:val="7A2A58ED"/>
    <w:rsid w:val="7A306D6A"/>
    <w:rsid w:val="7A3A2D18"/>
    <w:rsid w:val="7A3D7FCE"/>
    <w:rsid w:val="7A4047C9"/>
    <w:rsid w:val="7A410BBA"/>
    <w:rsid w:val="7A4650CA"/>
    <w:rsid w:val="7A4F1013"/>
    <w:rsid w:val="7A504B29"/>
    <w:rsid w:val="7A621488"/>
    <w:rsid w:val="7A637213"/>
    <w:rsid w:val="7A67406D"/>
    <w:rsid w:val="7A706301"/>
    <w:rsid w:val="7A7612BA"/>
    <w:rsid w:val="7A791447"/>
    <w:rsid w:val="7A806509"/>
    <w:rsid w:val="7A8E7E08"/>
    <w:rsid w:val="7A9509EB"/>
    <w:rsid w:val="7A9B513A"/>
    <w:rsid w:val="7AA37423"/>
    <w:rsid w:val="7AA44707"/>
    <w:rsid w:val="7AA648F5"/>
    <w:rsid w:val="7AB025C2"/>
    <w:rsid w:val="7AC13E96"/>
    <w:rsid w:val="7AC47045"/>
    <w:rsid w:val="7ACA0719"/>
    <w:rsid w:val="7AD1570F"/>
    <w:rsid w:val="7AD2081F"/>
    <w:rsid w:val="7AD67B36"/>
    <w:rsid w:val="7ADF3742"/>
    <w:rsid w:val="7AF00D51"/>
    <w:rsid w:val="7AF77000"/>
    <w:rsid w:val="7AFC4527"/>
    <w:rsid w:val="7B015192"/>
    <w:rsid w:val="7B05647F"/>
    <w:rsid w:val="7B0D2BFC"/>
    <w:rsid w:val="7B1B4CE2"/>
    <w:rsid w:val="7B290D36"/>
    <w:rsid w:val="7B34666C"/>
    <w:rsid w:val="7B3F72CC"/>
    <w:rsid w:val="7B445511"/>
    <w:rsid w:val="7B4670E3"/>
    <w:rsid w:val="7B4E4352"/>
    <w:rsid w:val="7B541081"/>
    <w:rsid w:val="7B593C54"/>
    <w:rsid w:val="7B5A0F87"/>
    <w:rsid w:val="7B60744C"/>
    <w:rsid w:val="7B607AD0"/>
    <w:rsid w:val="7B6138CB"/>
    <w:rsid w:val="7B6241C8"/>
    <w:rsid w:val="7B674C4F"/>
    <w:rsid w:val="7B6E4EF8"/>
    <w:rsid w:val="7B717874"/>
    <w:rsid w:val="7B730720"/>
    <w:rsid w:val="7B7819B7"/>
    <w:rsid w:val="7B7876F3"/>
    <w:rsid w:val="7B8B538E"/>
    <w:rsid w:val="7B921F8D"/>
    <w:rsid w:val="7B962430"/>
    <w:rsid w:val="7B995B38"/>
    <w:rsid w:val="7B9E20EF"/>
    <w:rsid w:val="7BAD0F2D"/>
    <w:rsid w:val="7BAD4079"/>
    <w:rsid w:val="7BAF7630"/>
    <w:rsid w:val="7BB57590"/>
    <w:rsid w:val="7BBC28FD"/>
    <w:rsid w:val="7BC06DFD"/>
    <w:rsid w:val="7BC5786F"/>
    <w:rsid w:val="7BCF5BC8"/>
    <w:rsid w:val="7BD07585"/>
    <w:rsid w:val="7BD642B9"/>
    <w:rsid w:val="7BE04E20"/>
    <w:rsid w:val="7BE17CD5"/>
    <w:rsid w:val="7C0206AA"/>
    <w:rsid w:val="7C065A98"/>
    <w:rsid w:val="7C0D3A8F"/>
    <w:rsid w:val="7C0E7B67"/>
    <w:rsid w:val="7C1F6FEA"/>
    <w:rsid w:val="7C277D92"/>
    <w:rsid w:val="7C2A600D"/>
    <w:rsid w:val="7C2D248B"/>
    <w:rsid w:val="7C4B264B"/>
    <w:rsid w:val="7C4D4C96"/>
    <w:rsid w:val="7C4E51CB"/>
    <w:rsid w:val="7C6F75D4"/>
    <w:rsid w:val="7C727A7A"/>
    <w:rsid w:val="7C787B60"/>
    <w:rsid w:val="7C801571"/>
    <w:rsid w:val="7C83010A"/>
    <w:rsid w:val="7C830218"/>
    <w:rsid w:val="7C9531DA"/>
    <w:rsid w:val="7C974E39"/>
    <w:rsid w:val="7CB8597A"/>
    <w:rsid w:val="7CC00260"/>
    <w:rsid w:val="7CCA7AE0"/>
    <w:rsid w:val="7CCC199E"/>
    <w:rsid w:val="7CD17CD4"/>
    <w:rsid w:val="7CD4291C"/>
    <w:rsid w:val="7CD74A64"/>
    <w:rsid w:val="7CE3773C"/>
    <w:rsid w:val="7CEA70E4"/>
    <w:rsid w:val="7CF8314B"/>
    <w:rsid w:val="7D035D07"/>
    <w:rsid w:val="7D1178A0"/>
    <w:rsid w:val="7D181F59"/>
    <w:rsid w:val="7D1A0438"/>
    <w:rsid w:val="7D1E2EBE"/>
    <w:rsid w:val="7D1E48D9"/>
    <w:rsid w:val="7D227DE1"/>
    <w:rsid w:val="7D293D37"/>
    <w:rsid w:val="7D2D054F"/>
    <w:rsid w:val="7D2E64DC"/>
    <w:rsid w:val="7D3C56AC"/>
    <w:rsid w:val="7D411706"/>
    <w:rsid w:val="7D451F8A"/>
    <w:rsid w:val="7D483B61"/>
    <w:rsid w:val="7D5E7528"/>
    <w:rsid w:val="7D6047A2"/>
    <w:rsid w:val="7D7E2DDD"/>
    <w:rsid w:val="7D7E7D3F"/>
    <w:rsid w:val="7D8D57A5"/>
    <w:rsid w:val="7D9A194B"/>
    <w:rsid w:val="7D9E6EDE"/>
    <w:rsid w:val="7DAC2CA1"/>
    <w:rsid w:val="7DAE41AC"/>
    <w:rsid w:val="7DB50F3C"/>
    <w:rsid w:val="7DB73C89"/>
    <w:rsid w:val="7DBB5512"/>
    <w:rsid w:val="7DBE0DC5"/>
    <w:rsid w:val="7DBF6ABA"/>
    <w:rsid w:val="7DD51A66"/>
    <w:rsid w:val="7DDA72E4"/>
    <w:rsid w:val="7DDB64BE"/>
    <w:rsid w:val="7DE27B4B"/>
    <w:rsid w:val="7DF11875"/>
    <w:rsid w:val="7E0A62A0"/>
    <w:rsid w:val="7E106F71"/>
    <w:rsid w:val="7E1A0B1D"/>
    <w:rsid w:val="7E1B008A"/>
    <w:rsid w:val="7E21031F"/>
    <w:rsid w:val="7E2527A0"/>
    <w:rsid w:val="7E2B1CCE"/>
    <w:rsid w:val="7E2B453C"/>
    <w:rsid w:val="7E327F7C"/>
    <w:rsid w:val="7E333717"/>
    <w:rsid w:val="7E3B1034"/>
    <w:rsid w:val="7E540469"/>
    <w:rsid w:val="7E580AB8"/>
    <w:rsid w:val="7E6024F8"/>
    <w:rsid w:val="7E621C5B"/>
    <w:rsid w:val="7E736737"/>
    <w:rsid w:val="7E831981"/>
    <w:rsid w:val="7E8851C0"/>
    <w:rsid w:val="7E933D3D"/>
    <w:rsid w:val="7E940E32"/>
    <w:rsid w:val="7E9968A4"/>
    <w:rsid w:val="7E9A32A3"/>
    <w:rsid w:val="7E9D532D"/>
    <w:rsid w:val="7E9E288F"/>
    <w:rsid w:val="7EBC597B"/>
    <w:rsid w:val="7ECB48F0"/>
    <w:rsid w:val="7ECE67C4"/>
    <w:rsid w:val="7ECF48CE"/>
    <w:rsid w:val="7EDA14A1"/>
    <w:rsid w:val="7EE54116"/>
    <w:rsid w:val="7EE61BF4"/>
    <w:rsid w:val="7EE654CD"/>
    <w:rsid w:val="7EF2534C"/>
    <w:rsid w:val="7EF52CA0"/>
    <w:rsid w:val="7EF83AB8"/>
    <w:rsid w:val="7F0851F0"/>
    <w:rsid w:val="7F091D33"/>
    <w:rsid w:val="7F0D41AA"/>
    <w:rsid w:val="7F107326"/>
    <w:rsid w:val="7F296BCA"/>
    <w:rsid w:val="7F29744D"/>
    <w:rsid w:val="7F301326"/>
    <w:rsid w:val="7F342F18"/>
    <w:rsid w:val="7F3A3A2C"/>
    <w:rsid w:val="7F3F51FC"/>
    <w:rsid w:val="7F444409"/>
    <w:rsid w:val="7F46642B"/>
    <w:rsid w:val="7F4F5B52"/>
    <w:rsid w:val="7F5A4526"/>
    <w:rsid w:val="7F615FBD"/>
    <w:rsid w:val="7F687370"/>
    <w:rsid w:val="7F7149DB"/>
    <w:rsid w:val="7F717BDA"/>
    <w:rsid w:val="7F751CDB"/>
    <w:rsid w:val="7F8165E4"/>
    <w:rsid w:val="7F841C68"/>
    <w:rsid w:val="7F9211E0"/>
    <w:rsid w:val="7FA13216"/>
    <w:rsid w:val="7FA13CA3"/>
    <w:rsid w:val="7FA274A3"/>
    <w:rsid w:val="7FAA59E2"/>
    <w:rsid w:val="7FB13F46"/>
    <w:rsid w:val="7FB15332"/>
    <w:rsid w:val="7FB725BE"/>
    <w:rsid w:val="7FBB7BA3"/>
    <w:rsid w:val="7FC35992"/>
    <w:rsid w:val="7FC659DC"/>
    <w:rsid w:val="7FCF6407"/>
    <w:rsid w:val="7FD2508D"/>
    <w:rsid w:val="7FDF5D95"/>
    <w:rsid w:val="7FE763FA"/>
    <w:rsid w:val="7FE905BF"/>
    <w:rsid w:val="7FEB4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17">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32"/>
    <w:qFormat/>
    <w:uiPriority w:val="0"/>
    <w:pPr>
      <w:jc w:val="left"/>
    </w:pPr>
  </w:style>
  <w:style w:type="paragraph" w:styleId="4">
    <w:name w:val="Body Text Indent"/>
    <w:basedOn w:val="1"/>
    <w:link w:val="37"/>
    <w:qFormat/>
    <w:uiPriority w:val="0"/>
    <w:pPr>
      <w:spacing w:after="120"/>
      <w:ind w:left="420" w:leftChars="200"/>
    </w:pPr>
  </w:style>
  <w:style w:type="paragraph" w:styleId="5">
    <w:name w:val="toc 3"/>
    <w:basedOn w:val="1"/>
    <w:next w:val="1"/>
    <w:qFormat/>
    <w:uiPriority w:val="39"/>
    <w:pPr>
      <w:ind w:left="840" w:leftChars="400"/>
    </w:pPr>
  </w:style>
  <w:style w:type="paragraph" w:styleId="6">
    <w:name w:val="Date"/>
    <w:basedOn w:val="1"/>
    <w:next w:val="1"/>
    <w:link w:val="40"/>
    <w:qFormat/>
    <w:uiPriority w:val="0"/>
    <w:pPr>
      <w:ind w:left="100" w:leftChars="2500"/>
    </w:pPr>
  </w:style>
  <w:style w:type="paragraph" w:styleId="7">
    <w:name w:val="Balloon Text"/>
    <w:basedOn w:val="1"/>
    <w:link w:val="30"/>
    <w:qFormat/>
    <w:uiPriority w:val="0"/>
    <w:rPr>
      <w:sz w:val="18"/>
      <w:szCs w:val="18"/>
    </w:rPr>
  </w:style>
  <w:style w:type="paragraph" w:styleId="8">
    <w:name w:val="footer"/>
    <w:basedOn w:val="1"/>
    <w:link w:val="36"/>
    <w:qFormat/>
    <w:uiPriority w:val="99"/>
    <w:pPr>
      <w:tabs>
        <w:tab w:val="center" w:pos="4153"/>
        <w:tab w:val="right" w:pos="8306"/>
      </w:tabs>
      <w:snapToGrid w:val="0"/>
      <w:jc w:val="left"/>
    </w:pPr>
    <w:rPr>
      <w:sz w:val="18"/>
    </w:rPr>
  </w:style>
  <w:style w:type="paragraph" w:styleId="9">
    <w:name w:val="header"/>
    <w:basedOn w:val="1"/>
    <w:link w:val="39"/>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qFormat/>
    <w:uiPriority w:val="39"/>
  </w:style>
  <w:style w:type="paragraph" w:styleId="11">
    <w:name w:val="footnote text"/>
    <w:basedOn w:val="1"/>
    <w:qFormat/>
    <w:uiPriority w:val="0"/>
    <w:pPr>
      <w:snapToGrid w:val="0"/>
      <w:jc w:val="left"/>
    </w:pPr>
    <w:rPr>
      <w:sz w:val="18"/>
    </w:rPr>
  </w:style>
  <w:style w:type="paragraph" w:styleId="12">
    <w:name w:val="toc 2"/>
    <w:basedOn w:val="1"/>
    <w:next w:val="1"/>
    <w:qFormat/>
    <w:uiPriority w:val="39"/>
    <w:pPr>
      <w:ind w:left="420" w:leftChars="200"/>
    </w:pPr>
  </w:style>
  <w:style w:type="paragraph" w:styleId="13">
    <w:name w:val="annotation subject"/>
    <w:basedOn w:val="3"/>
    <w:next w:val="3"/>
    <w:link w:val="33"/>
    <w:qFormat/>
    <w:uiPriority w:val="0"/>
    <w:rPr>
      <w:b/>
      <w:bCs/>
    </w:rPr>
  </w:style>
  <w:style w:type="paragraph" w:styleId="14">
    <w:name w:val="Body Text First Indent 2"/>
    <w:basedOn w:val="4"/>
    <w:link w:val="38"/>
    <w:unhideWhenUsed/>
    <w:qFormat/>
    <w:uiPriority w:val="0"/>
    <w:pPr>
      <w:ind w:firstLine="420" w:firstLineChars="200"/>
    </w:pPr>
    <w:rPr>
      <w:rFonts w:ascii="Times New Roman" w:hAnsi="Times New Roman" w:eastAsia="宋体" w:cs="Times New Roman"/>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unhideWhenUsed/>
    <w:qFormat/>
    <w:uiPriority w:val="99"/>
    <w:rPr>
      <w:color w:val="0563C1" w:themeColor="hyperlink"/>
      <w:u w:val="single"/>
      <w14:textFill>
        <w14:solidFill>
          <w14:schemeClr w14:val="hlink"/>
        </w14:solidFill>
      </w14:textFill>
    </w:rPr>
  </w:style>
  <w:style w:type="character" w:styleId="20">
    <w:name w:val="annotation reference"/>
    <w:basedOn w:val="17"/>
    <w:qFormat/>
    <w:uiPriority w:val="99"/>
    <w:rPr>
      <w:sz w:val="21"/>
      <w:szCs w:val="21"/>
    </w:rPr>
  </w:style>
  <w:style w:type="character" w:styleId="21">
    <w:name w:val="footnote reference"/>
    <w:basedOn w:val="17"/>
    <w:qFormat/>
    <w:uiPriority w:val="0"/>
    <w:rPr>
      <w:vertAlign w:val="superscript"/>
    </w:rPr>
  </w:style>
  <w:style w:type="character" w:customStyle="1" w:styleId="22">
    <w:name w:val="font71"/>
    <w:basedOn w:val="17"/>
    <w:qFormat/>
    <w:uiPriority w:val="0"/>
    <w:rPr>
      <w:rFonts w:hint="eastAsia" w:ascii="仿宋" w:hAnsi="仿宋" w:eastAsia="仿宋" w:cs="仿宋"/>
      <w:b/>
      <w:color w:val="000000"/>
      <w:sz w:val="22"/>
      <w:szCs w:val="22"/>
      <w:u w:val="none"/>
    </w:rPr>
  </w:style>
  <w:style w:type="character" w:customStyle="1" w:styleId="23">
    <w:name w:val="font61"/>
    <w:basedOn w:val="17"/>
    <w:qFormat/>
    <w:uiPriority w:val="0"/>
    <w:rPr>
      <w:rFonts w:hint="default" w:ascii="Times New Roman" w:hAnsi="Times New Roman" w:cs="Times New Roman"/>
      <w:b/>
      <w:color w:val="000000"/>
      <w:sz w:val="22"/>
      <w:szCs w:val="22"/>
      <w:u w:val="none"/>
    </w:rPr>
  </w:style>
  <w:style w:type="character" w:customStyle="1" w:styleId="24">
    <w:name w:val="font11"/>
    <w:basedOn w:val="17"/>
    <w:qFormat/>
    <w:uiPriority w:val="0"/>
    <w:rPr>
      <w:rFonts w:hint="eastAsia" w:ascii="仿宋" w:hAnsi="仿宋" w:eastAsia="仿宋" w:cs="仿宋"/>
      <w:b/>
      <w:color w:val="000000"/>
      <w:sz w:val="22"/>
      <w:szCs w:val="22"/>
      <w:u w:val="none"/>
    </w:rPr>
  </w:style>
  <w:style w:type="character" w:customStyle="1" w:styleId="25">
    <w:name w:val="font21"/>
    <w:basedOn w:val="17"/>
    <w:qFormat/>
    <w:uiPriority w:val="0"/>
    <w:rPr>
      <w:rFonts w:hint="default" w:ascii="Times New Roman" w:hAnsi="Times New Roman" w:cs="Times New Roman"/>
      <w:b/>
      <w:color w:val="000000"/>
      <w:sz w:val="22"/>
      <w:szCs w:val="22"/>
      <w:u w:val="none"/>
    </w:rPr>
  </w:style>
  <w:style w:type="paragraph" w:customStyle="1" w:styleId="26">
    <w:name w:val="WPSOffice手动目录 1"/>
    <w:qFormat/>
    <w:uiPriority w:val="0"/>
    <w:rPr>
      <w:rFonts w:ascii="Times New Roman" w:hAnsi="Times New Roman" w:eastAsia="宋体" w:cs="Times New Roman"/>
      <w:lang w:val="en-US" w:eastAsia="zh-CN" w:bidi="ar-SA"/>
    </w:rPr>
  </w:style>
  <w:style w:type="paragraph" w:customStyle="1" w:styleId="27">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8">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29">
    <w:name w:val="È¡ÀÊ¡ÎÄ¡À¾"/>
    <w:basedOn w:val="1"/>
    <w:qFormat/>
    <w:uiPriority w:val="0"/>
    <w:pPr>
      <w:widowControl/>
      <w:overflowPunct w:val="0"/>
      <w:autoSpaceDE w:val="0"/>
      <w:autoSpaceDN w:val="0"/>
      <w:adjustRightInd w:val="0"/>
      <w:jc w:val="left"/>
      <w:textAlignment w:val="baseline"/>
    </w:pPr>
    <w:rPr>
      <w:kern w:val="0"/>
      <w:sz w:val="24"/>
    </w:rPr>
  </w:style>
  <w:style w:type="character" w:customStyle="1" w:styleId="30">
    <w:name w:val="批注框文本 Char"/>
    <w:basedOn w:val="17"/>
    <w:link w:val="7"/>
    <w:qFormat/>
    <w:uiPriority w:val="0"/>
    <w:rPr>
      <w:kern w:val="2"/>
      <w:sz w:val="18"/>
      <w:szCs w:val="18"/>
    </w:rPr>
  </w:style>
  <w:style w:type="paragraph" w:styleId="31">
    <w:name w:val="List Paragraph"/>
    <w:basedOn w:val="1"/>
    <w:unhideWhenUsed/>
    <w:qFormat/>
    <w:uiPriority w:val="34"/>
    <w:pPr>
      <w:ind w:firstLine="420" w:firstLineChars="200"/>
    </w:pPr>
  </w:style>
  <w:style w:type="character" w:customStyle="1" w:styleId="32">
    <w:name w:val="批注文字 Char"/>
    <w:basedOn w:val="17"/>
    <w:link w:val="3"/>
    <w:qFormat/>
    <w:uiPriority w:val="0"/>
    <w:rPr>
      <w:rFonts w:asciiTheme="minorHAnsi" w:hAnsiTheme="minorHAnsi" w:eastAsiaTheme="minorEastAsia" w:cstheme="minorBidi"/>
      <w:kern w:val="2"/>
      <w:sz w:val="21"/>
      <w:szCs w:val="24"/>
    </w:rPr>
  </w:style>
  <w:style w:type="character" w:customStyle="1" w:styleId="33">
    <w:name w:val="批注主题 Char"/>
    <w:basedOn w:val="32"/>
    <w:link w:val="13"/>
    <w:qFormat/>
    <w:uiPriority w:val="0"/>
    <w:rPr>
      <w:rFonts w:asciiTheme="minorHAnsi" w:hAnsiTheme="minorHAnsi" w:eastAsiaTheme="minorEastAsia" w:cstheme="minorBidi"/>
      <w:b/>
      <w:bCs/>
      <w:kern w:val="2"/>
      <w:sz w:val="21"/>
      <w:szCs w:val="24"/>
    </w:rPr>
  </w:style>
  <w:style w:type="paragraph" w:customStyle="1" w:styleId="34">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35">
    <w:name w:val="标题 1 Char"/>
    <w:basedOn w:val="17"/>
    <w:link w:val="2"/>
    <w:qFormat/>
    <w:uiPriority w:val="0"/>
    <w:rPr>
      <w:b/>
      <w:bCs/>
      <w:kern w:val="44"/>
      <w:sz w:val="44"/>
      <w:szCs w:val="44"/>
    </w:rPr>
  </w:style>
  <w:style w:type="character" w:customStyle="1" w:styleId="36">
    <w:name w:val="页脚 Char"/>
    <w:link w:val="8"/>
    <w:qFormat/>
    <w:uiPriority w:val="99"/>
    <w:rPr>
      <w:rFonts w:asciiTheme="minorHAnsi" w:hAnsiTheme="minorHAnsi" w:eastAsiaTheme="minorEastAsia" w:cstheme="minorBidi"/>
      <w:kern w:val="2"/>
      <w:sz w:val="18"/>
      <w:szCs w:val="24"/>
    </w:rPr>
  </w:style>
  <w:style w:type="character" w:customStyle="1" w:styleId="37">
    <w:name w:val="正文文本缩进 Char"/>
    <w:basedOn w:val="17"/>
    <w:link w:val="4"/>
    <w:qFormat/>
    <w:uiPriority w:val="0"/>
    <w:rPr>
      <w:rFonts w:asciiTheme="minorHAnsi" w:hAnsiTheme="minorHAnsi" w:eastAsiaTheme="minorEastAsia" w:cstheme="minorBidi"/>
      <w:kern w:val="2"/>
      <w:sz w:val="21"/>
      <w:szCs w:val="24"/>
    </w:rPr>
  </w:style>
  <w:style w:type="character" w:customStyle="1" w:styleId="38">
    <w:name w:val="正文首行缩进 2 Char"/>
    <w:basedOn w:val="37"/>
    <w:link w:val="14"/>
    <w:qFormat/>
    <w:uiPriority w:val="0"/>
    <w:rPr>
      <w:rFonts w:asciiTheme="minorHAnsi" w:hAnsiTheme="minorHAnsi" w:eastAsiaTheme="minorEastAsia" w:cstheme="minorBidi"/>
      <w:kern w:val="2"/>
      <w:sz w:val="21"/>
      <w:szCs w:val="24"/>
    </w:rPr>
  </w:style>
  <w:style w:type="character" w:customStyle="1" w:styleId="39">
    <w:name w:val="页眉 Char"/>
    <w:link w:val="9"/>
    <w:qFormat/>
    <w:uiPriority w:val="99"/>
    <w:rPr>
      <w:rFonts w:asciiTheme="minorHAnsi" w:hAnsiTheme="minorHAnsi" w:eastAsiaTheme="minorEastAsia" w:cstheme="minorBidi"/>
      <w:kern w:val="2"/>
      <w:sz w:val="18"/>
      <w:szCs w:val="24"/>
    </w:rPr>
  </w:style>
  <w:style w:type="character" w:customStyle="1" w:styleId="40">
    <w:name w:val="日期 Char"/>
    <w:basedOn w:val="17"/>
    <w:link w:val="6"/>
    <w:qFormat/>
    <w:uiPriority w:val="0"/>
    <w:rPr>
      <w:rFonts w:asciiTheme="minorHAnsi" w:hAnsiTheme="minorHAnsi" w:eastAsiaTheme="minorEastAsia" w:cstheme="minorBidi"/>
      <w:kern w:val="2"/>
      <w:sz w:val="21"/>
      <w:szCs w:val="24"/>
    </w:rPr>
  </w:style>
  <w:style w:type="paragraph" w:customStyle="1" w:styleId="41">
    <w:name w:val="Default"/>
    <w:qFormat/>
    <w:uiPriority w:val="0"/>
    <w:pPr>
      <w:widowControl w:val="0"/>
      <w:autoSpaceDE w:val="0"/>
      <w:autoSpaceDN w:val="0"/>
      <w:adjustRightInd w:val="0"/>
    </w:pPr>
    <w:rPr>
      <w:rFonts w:ascii="EUAlbertina" w:hAnsi="Times New Roman" w:eastAsia="EUAlbertina" w:cs="EUAlbertina"/>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1DBFF4-A03D-4C00-9D18-3EE4674749CE}">
  <ds:schemaRefs/>
</ds:datastoreItem>
</file>

<file path=docProps/app.xml><?xml version="1.0" encoding="utf-8"?>
<Properties xmlns="http://schemas.openxmlformats.org/officeDocument/2006/extended-properties" xmlns:vt="http://schemas.openxmlformats.org/officeDocument/2006/docPropsVTypes">
  <Template>Normal</Template>
  <Pages>28</Pages>
  <Words>12686</Words>
  <Characters>13730</Characters>
  <Lines>37</Lines>
  <Paragraphs>34</Paragraphs>
  <TotalTime>1</TotalTime>
  <ScaleCrop>false</ScaleCrop>
  <LinksUpToDate>false</LinksUpToDate>
  <CharactersWithSpaces>13995</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2022-04-11T09:56:00Z</dcterms:created>
  <dc:creator>Administrator</dc:creator>
  <cp:lastModifiedBy>涵宝</cp:lastModifiedBy>
  <cp:lastPrinted>2022-04-11T05:26:00Z</cp:lastPrinted>
  <dcterms:modified xsi:type="dcterms:W3CDTF">2022-04-12T06:11:22Z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FEDE9CE6EE144DAF98B5334A65031C7F</vt:lpwstr>
  </property>
</Properties>
</file>